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body>
    <w:p>
      <w:pPr>
        <w:spacing w:after="0"/>
        <w:ind w:left="0"/>
        <w:jc w:val="left"/>
      </w:pPr>
      <w:bookmarkStart w:name="idc82" w:id="0"/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  <w:sz w:val="22"/>
        </w:rPr>
        <w:t xml:space="preserve">CID: </w:t>
      </w:r>
      <w:r>
        <w:rPr>
          <w:rFonts w:ascii="Calibri" w:hAnsi="Calibri" w:eastAsia="Calibri" w:cs="Calibri"/>
          <w:b/>
          <w:i w:val="false"/>
          <w:color w:val="000000"/>
          <w:sz w:val="22"/>
        </w:rPr>
        <w:t>F51E-4396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wynikających z POP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c86" w:id="1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419"/>
        <w:gridCol w:w="4623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87-w-lbl" w:id="2"/>
            <w:bookmarkEnd w:id="2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c87-w-lbl" w:id="3"/>
            <w:bookmarkEnd w:id="3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waganiec.biuletyn.net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Dworcowa 11, Waganiec, 87-731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89-w-lbl" w:id="4"/>
            <w:bookmarkEnd w:id="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c89-w-lbl" w:id="5"/>
            <w:bookmarkEnd w:id="5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 Mańkowski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8b-w-lbl" w:id="6"/>
            <w:bookmarkEnd w:id="6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c8b-w-lbl" w:id="7"/>
            <w:bookmarkEnd w:id="7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542830044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8d-w-lbl" w:id="8"/>
            <w:bookmarkEnd w:id="8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c8d-w-lbl" w:id="9"/>
            <w:bookmarkEnd w:id="9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wojciech.mankowski@waganiec.pl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984"/>
        <w:gridCol w:w="6058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KPsKPZSO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Obniżenie emisji z ogrzewania indywidualnego w gminach strefy kujawsko-pomorskiej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90-w-lbl" w:id="10"/>
            <w:bookmarkEnd w:id="10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c90-w-lbl" w:id="11"/>
            <w:bookmarkEnd w:id="11"/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Wymiana 15 szt niskosprawnych urządzeń grzewczych na: piece retortowe na pelety - 8 szt, piece retortowe na ekogroszek - 5 szt, piec gazowy - LPG - 1 szt, pompę ciepła -  1 szt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styczeń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Ariany; Bertowo; Józefowo; Kaźmierzyn; Nowy Zbrachlin; Plebanka; Waganiec: Osiedlowa, Kujawska; Wiktoryn; Wólne; Śliwkowo</w:t>
            </w:r>
          </w:p>
          <w:p>
            <w:pPr>
              <w:spacing w:after="0"/>
              <w:ind w:left="0"/>
              <w:jc w:val="left"/>
            </w:pPr>
            <w:bookmarkStart w:name="idc92" w:id="12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[m²] lokali ogrzewanych paliwami stałymi, w których nastąpiła zmiana ogrzewania na: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69"/>
              <w:gridCol w:w="2969"/>
            </w:tblGrid>
            <w:tr>
              <w:trPr>
                <w:trHeight w:val="30" w:hRule="atLeast"/>
              </w:trPr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zastosowanie koksu</w:t>
                  </w:r>
                </w:p>
              </w:tc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olejowy</w:t>
                  </w:r>
                </w:p>
              </w:tc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piec gazowy - gaz ziemny</w:t>
                  </w:r>
                </w:p>
              </w:tc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gazowy - LPG </w:t>
                  </w:r>
                </w:p>
              </w:tc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126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ekogroszek </w:t>
                  </w:r>
                </w:p>
              </w:tc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684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 xml:space="preserve">wymiana na piec retortowy - pelety </w:t>
                  </w:r>
                </w:p>
              </w:tc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967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ogrzewanie elektryczne</w:t>
                  </w:r>
                </w:p>
              </w:tc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przyłączenie do ciepła sieciowego</w:t>
                  </w:r>
                </w:p>
              </w:tc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wymiana na pompę ciepła lub inne</w:t>
                  </w:r>
                </w:p>
              </w:tc>
              <w:tc>
                <w:tcPr>
                  <w:tcW w:w="2969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174</w:t>
                  </w:r>
                </w:p>
              </w:tc>
            </w:tr>
          </w:tbl>
          <w:p/>
          <w:bookmarkEnd w:id="12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[Mg/rok]</w:t>
            </w:r>
          </w:p>
          <w:p>
            <w:pPr>
              <w:spacing w:after="0"/>
              <w:ind w:left="0"/>
              <w:jc w:val="left"/>
            </w:pPr>
            <w:bookmarkStart w:name="idc93" w:id="13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PM2,5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40"/>
            </w:tblGrid>
            <w:tr>
              <w:trPr>
                <w:trHeight w:val="30" w:hRule="atLeast"/>
              </w:trPr>
              <w:tc>
                <w:tcPr>
                  <w:tcW w:w="12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1,33</w:t>
                  </w:r>
                </w:p>
              </w:tc>
            </w:tr>
          </w:tbl>
          <w:p/>
          <w:bookmarkEnd w:id="13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318204,56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130055,46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189149,10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71448,84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29202,32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42471,06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698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94-w-lbl" w:id="14"/>
            <w:bookmarkEnd w:id="14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c94-w-lbl" w:id="15"/>
            <w:bookmarkEnd w:id="15"/>
          </w:p>
        </w:tc>
        <w:tc>
          <w:tcPr>
            <w:tcW w:w="605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okresowe z realizacji programu ochrony powietrza oraz jego aktualizacji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  <w:r>
        <w:rPr>
          <w:rFonts w:ascii="Calibri" w:hAnsi="Calibri" w:eastAsia="Calibri" w:cs="Calibri"/>
          <w:b/>
          <w:i w:val="false"/>
          <w:color w:val="000000"/>
        </w:rPr>
        <w:t xml:space="preserve"> dla działań uwzględnionych w Programie Ochrony Powietrza, wynikających z innych dokumentów strategicznych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I. Informacja ogólna na temat sprawozdania okresowego z realizacji programu ochrony powietrza</w:t>
      </w:r>
    </w:p>
    <w:bookmarkStart w:name="idc98" w:id="16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8419"/>
        <w:gridCol w:w="4623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Opis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Rok referencyjny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Województwo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KUJAWSKO-POMORSKIE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programu ochrony powietrza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3)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99-w-lbl" w:id="17"/>
            <w:bookmarkEnd w:id="17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strony internetowej, pod którym znajduje się sprawozdanie okresowe z realizacji programu ochrony powietrza</w:t>
            </w:r>
            <w:bookmarkStart w:name="idc99-w-lbl" w:id="18"/>
            <w:bookmarkEnd w:id="18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waganiec.biuletyn.net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Gmina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Adres pocztowy urzędu marszałkowskiego/urzędu miasta/urzędu gminy/starostwa powiatowego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Dworcowa 11, Waganiec, 87-731 Waganiec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9b-w-lbl" w:id="19"/>
            <w:bookmarkEnd w:id="19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Imię/imiona i nazwisko/nazwiska pracownika/pracowników urzędu marszałkowskiego/urzędu miasta/urzędu gminy/starostwa powiatowego odpowiedzialnego/odpowiedzialnych za przygotowanie danych</w:t>
            </w:r>
            <w:bookmarkStart w:name="idc9b-w-lbl" w:id="20"/>
            <w:bookmarkEnd w:id="20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 Mańkowski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9d-w-lbl" w:id="21"/>
            <w:bookmarkEnd w:id="21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telefon pracownika/pracowników urzędu marszałkowskiego/urzędu miasta/urzędu gminy/ starostwa powiatowego odpowiedzialnego/odpowiedzialnych za przygotowanie danych</w:t>
            </w:r>
            <w:bookmarkStart w:name="idc9d-w-lbl" w:id="22"/>
            <w:bookmarkEnd w:id="22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542830044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9f-w-lbl" w:id="23"/>
            <w:bookmarkEnd w:id="23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Służbowy adres poczty elektronicznej pracownika/pracowników urzędu marszałkowskiego/urzędu miasta/urzędu gminy/starostwa powiatowego odpowiedzialnego/odpowiedzialnych za przygotowanie danych</w:t>
            </w:r>
            <w:bookmarkStart w:name="idc9f-w-lbl" w:id="24"/>
            <w:bookmarkEnd w:id="24"/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wojciech.mankowski@waganiec.pl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841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</w:p>
        </w:tc>
        <w:tc>
          <w:tcPr>
            <w:tcW w:w="462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bookmarkEnd w:id="16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II. Zestawienie informacji na temat realizacji działań naprawczych</w:t>
      </w:r>
    </w:p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2"/>
        <w:gridCol w:w="6418"/>
        <w:gridCol w:w="6624"/>
      </w:tblGrid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Lp.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Zawartość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Odpowiedź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Kod działania naprawczego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4)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KPsKPTBM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Tytuł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Termomodernizacje budynków mieszkalnych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Kod sytuacji przekroczenia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5)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a2-w-lbl" w:id="25"/>
            <w:bookmarkEnd w:id="25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Opis</w:t>
            </w:r>
            <w:bookmarkStart w:name="idca2-w-lbl" w:id="26"/>
            <w:bookmarkEnd w:id="26"/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Wymiana okien i drzwi zewnętrznych o powierzchni ok. 10 m2 w budynku mieszkalnym jednorodzinnym, docieplenie stropu o powierzchni ok. 105 m2 styropianem w budynku mieszkalnym jednorodzinnym.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5.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Nazwa i kod strefy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vertAlign w:val="superscript"/>
              </w:rPr>
              <w:t>2)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strefa kujawsko-pomorska PL0404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6.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Obszar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Waganiec gm. wiejska 0401082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Termin zastosowania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czerwiec 2023 - lipiec 2023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8.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Stan zaawansowania realizacji działania naprawczego w odniesieniu do wartości zaplanowanej do wykonania w danym roku sprawozdawczym  [%]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9.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Skala czasowa osiągnięcia redukcji stężenia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długoterminowe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10.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Kategoria źródeł emisji, której dotyczy działanie naprawcze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D: źródła związane z handlem i mieszkalnictwem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11.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 xml:space="preserve">Efekt rzeczowy działania naprawczego obliczony (oszacowany) na podstawie wskaźnika(-ków) monitorowania postępu realizacji działania naprawczego w ciągu roku realizacji programu ochrony powietrza                                                             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 xml:space="preserve">Miasto / ulica 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Sierzchowo; Wiktoryn</w:t>
            </w:r>
          </w:p>
          <w:p>
            <w:pPr>
              <w:spacing w:after="0"/>
              <w:ind w:left="0"/>
              <w:jc w:val="left"/>
            </w:pPr>
            <w:bookmarkStart w:name="idca4" w:id="27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wymienionej stolarki okiennej i drzwiowej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760"/>
            </w:tblGrid>
            <w:tr>
              <w:trPr>
                <w:trHeight w:val="30" w:hRule="atLeast"/>
              </w:trPr>
              <w:tc>
                <w:tcPr>
                  <w:tcW w:w="76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</w:t>
                  </w:r>
                </w:p>
              </w:tc>
            </w:tr>
          </w:tbl>
          <w:p/>
          <w:bookmarkEnd w:id="27"/>
          <w:p>
            <w:pPr>
              <w:spacing w:after="0"/>
              <w:ind w:left="0"/>
              <w:jc w:val="left"/>
            </w:pPr>
            <w:bookmarkStart w:name="idca5" w:id="28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ocieplonych ścian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440"/>
            </w:tblGrid>
            <w:tr>
              <w:trPr>
                <w:trHeight w:val="30" w:hRule="atLeast"/>
              </w:trPr>
              <w:tc>
                <w:tcPr>
                  <w:tcW w:w="44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</w:t>
                  </w:r>
                </w:p>
              </w:tc>
            </w:tr>
          </w:tbl>
          <w:p/>
          <w:bookmarkEnd w:id="28"/>
          <w:p>
            <w:pPr>
              <w:spacing w:after="0"/>
              <w:ind w:left="0"/>
              <w:jc w:val="left"/>
            </w:pPr>
            <w:bookmarkStart w:name="idca6" w:id="29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Powierzchnia ocieplonych stropodachów [m²]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080"/>
            </w:tblGrid>
            <w:tr>
              <w:trPr>
                <w:trHeight w:val="30" w:hRule="atLeast"/>
              </w:trPr>
              <w:tc>
                <w:tcPr>
                  <w:tcW w:w="108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105</w:t>
                  </w:r>
                </w:p>
              </w:tc>
            </w:tr>
          </w:tbl>
          <w:p/>
          <w:bookmarkEnd w:id="29"/>
          <w:p>
            <w:pPr>
              <w:spacing w:after="0"/>
              <w:ind w:left="0"/>
              <w:jc w:val="left"/>
            </w:pPr>
            <w:bookmarkStart w:name="idca7" w:id="30"/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Inne wykonane modernizacje</w:t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58"/>
            </w:tblGrid>
            <w:tr>
              <w:trPr>
                <w:trHeight w:val="30" w:hRule="atLeast"/>
              </w:trPr>
              <w:tc>
                <w:tcPr>
                  <w:tcW w:w="125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brak</w:t>
                  </w:r>
                </w:p>
              </w:tc>
            </w:tr>
          </w:tbl>
          <w:p/>
          <w:bookmarkEnd w:id="30"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12.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Redukcja wielkości emisji poszczególnych substancji w powietrzu w ciągu roku osiągnięta w wyniku realizacji działania naprawczego, w ciągu roku realizacji programu ochrony powietrza (Mg/rok)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Nie dotyczy</w:t>
            </w:r>
          </w:p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PLN)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22238,85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03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[PLN]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11467,43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03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10771,42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Wysokość poniesionych kosztów (w EUR)</w:t>
            </w:r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Szacunkowy koszt: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 </w:t>
            </w: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4993,45</w:t>
            </w:r>
            <w:r>
              <w:br/>
            </w:r>
            <w:r>
              <w:br/>
            </w:r>
          </w:p>
          <w:tbl>
            <w:tblPr>
              <w:tblW w:w="0" w:type="auto"/>
              <w:tblCellSpacing w:w="20" w:type="dxa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2932"/>
              <w:gridCol w:w="1938"/>
            </w:tblGrid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Źródło dofinansowania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/>
                      <w:i w:val="false"/>
                      <w:color w:val="000000"/>
                      <w:sz w:val="22"/>
                    </w:rPr>
                    <w:t>Wartość [EUR]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własne JST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WFOŚiGW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2574,87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Środki NFOŚiGW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RPO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Fundusze unijne POIŚ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0,00</w:t>
                  </w:r>
                </w:p>
              </w:tc>
            </w:tr>
            <w:tr>
              <w:trPr>
                <w:trHeight w:val="30" w:hRule="atLeast"/>
              </w:trPr>
              <w:tc>
                <w:tcPr>
                  <w:tcW w:w="2932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Inne</w:t>
                  </w:r>
                </w:p>
              </w:tc>
              <w:tc>
                <w:tcPr>
                  <w:tcW w:w="1938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Calibri" w:hAnsi="Calibri" w:eastAsia="Calibri" w:cs="Calibri"/>
                      <w:b w:val="false"/>
                      <w:i w:val="false"/>
                      <w:color w:val="000000"/>
                      <w:sz w:val="22"/>
                    </w:rPr>
                    <w:t>2418,59</w:t>
                  </w:r>
                </w:p>
              </w:tc>
            </w:tr>
          </w:tbl>
          <w:p/>
        </w:tc>
      </w:tr>
      <w:tr>
        <w:trPr>
          <w:trHeight w:val="30" w:hRule="atLeast"/>
        </w:trPr>
        <w:tc>
          <w:tcPr>
            <w:tcW w:w="5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15.</w:t>
            </w:r>
          </w:p>
        </w:tc>
        <w:tc>
          <w:tcPr>
            <w:tcW w:w="641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bookmarkStart w:name="idca8-w-lbl" w:id="31"/>
            <w:bookmarkEnd w:id="31"/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Uwagi</w:t>
            </w:r>
            <w:bookmarkStart w:name="idca8-w-lbl" w:id="32"/>
            <w:bookmarkEnd w:id="32"/>
          </w:p>
        </w:tc>
        <w:tc>
          <w:tcPr>
            <w:tcW w:w="6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</w:p>
        </w:tc>
      </w:tr>
    </w:tbl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Informacje dodatkowe o kierunkach i zakresie podjętych działań naprawczych – zgodnie z Dz.U.2023 poz. 350, §10 ust. 1, pkt 1
                            </w:t>
      </w:r>
    </w:p>
    <w:p>
      <w:pPr>
        <w:spacing w:after="0"/>
        <w:ind w:left="0"/>
        <w:jc w:val="left"/>
      </w:pPr>
      <w:bookmarkStart w:name="idcab" w:id="33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Sejmik Województwa w uchwale antysmogowej wprowadził wymagania jakościowe dla biomasy dopuszczonej do stosowania w województwie.</w:t>
      </w:r>
    </w:p>
    <w:bookmarkEnd w:id="33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kosztów realizacji działań naprawczych</w:t>
      </w:r>
    </w:p>
    <w:bookmarkStart w:name="idcad" w:id="34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216"/>
        <w:gridCol w:w="1440"/>
        <w:gridCol w:w="1280"/>
      </w:tblGrid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PLN</w:t>
            </w:r>
          </w:p>
        </w:tc>
        <w:bookmarkStart w:name="idcae" w:id="35"/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EUR</w:t>
            </w:r>
          </w:p>
        </w:tc>
        <w:bookmarkEnd w:id="35"/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Szacunkowa wysokość całkowita kosztów, w tym: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340443,41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76442,30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własne JST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WFOŚiGW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141522,89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31777,19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Środki NFOŚiGW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RPO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Fundusze unijne POIŚ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621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Inne</w:t>
            </w:r>
          </w:p>
        </w:tc>
        <w:tc>
          <w:tcPr>
            <w:tcW w:w="14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199920,52</w:t>
            </w:r>
          </w:p>
        </w:tc>
        <w:tc>
          <w:tcPr>
            <w:tcW w:w="1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44889,64</w:t>
            </w:r>
          </w:p>
        </w:tc>
      </w:tr>
    </w:tbl>
    <w:bookmarkEnd w:id="34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Podsumowanie efektów ekologicznych</w:t>
      </w:r>
    </w:p>
    <w:bookmarkStart w:name="idcaf" w:id="36"/>
    <w:tbl>
      <w:tblPr>
        <w:tblW w:w="0" w:type="auto"/>
        <w:tblCellSpacing w:w="0" w:type="auto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2472"/>
        <w:gridCol w:w="6535"/>
      </w:tblGrid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Nazwa substancji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/>
                <w:i w:val="false"/>
                <w:color w:val="000000"/>
                <w:sz w:val="22"/>
              </w:rPr>
              <w:t>Całkowita szacunkowa redukcja emisji [kg/rok]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PM10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PM2,5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1329,14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B(a)P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0,000000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Benzen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Arsen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Nikiel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SO₂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NOx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CO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  <w:tr>
        <w:trPr>
          <w:trHeight w:val="30" w:hRule="atLeast"/>
        </w:trPr>
        <w:tc>
          <w:tcPr>
            <w:tcW w:w="247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NMLZO</w:t>
            </w:r>
          </w:p>
        </w:tc>
        <w:tc>
          <w:tcPr>
            <w:tcW w:w="653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Calibri" w:hAnsi="Calibri" w:eastAsia="Calibri" w:cs="Calibri"/>
                <w:b w:val="false"/>
                <w:i w:val="false"/>
                <w:color w:val="000000"/>
                <w:sz w:val="22"/>
              </w:rPr>
              <w:t>0,00</w:t>
            </w:r>
          </w:p>
        </w:tc>
      </w:tr>
    </w:tbl>
    <w:bookmarkEnd w:id="36"/>
    <w:bookmarkStart w:name="idcb0" w:id="37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>Objaśnienia: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1)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Informacja dotycząca sprawozdania okresowego z realizacji programu ochrony powietrza jest tożsama z informacją dotyczącą sprawozdania okresowego z realizacji aktualizacji programu ochrony powietrza.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2)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strefy określony zgodnie z art. 87 ust. 2a ustawy z dnia 27 kwietnia 2001 r. – Prawo ochrony środowiska (Dz. U. z 2022 r. poz. 2556, z późn. zm.) w załączniku do tej ustawy.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3)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dla programu może faktycznie być kodem strefy określonym w załączniku do ustawy z dnia 27 kwietnia 2001 r. – Prawo ochrony środowiska, do którego dodaje się symbol substancji, dla której zostały wykonane program ochrony powietrza lub jego aktualizacja, wraz z podaniem okresu uśredniania wyników pomiarów (na przykład PL1401PM10a). W przypadku aktualizacji programu ochrony powietrza można zastosować nowy kod programu aktualizowanego.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4)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działania naprawczego służący do identyfikacji działań naprawczych w sprawozdaniu z realizacji programu ochrony powietrza lub jego aktualizacji przygotowywanym zgodnie z wymaganiami określonymi w przepisach wydanych na podstawie art. 94 ust. 3 ustawy z dnia 27 kwietnia 2001 r. – Prawo ochrony środowiska.</w:t>
      </w:r>
    </w:p>
    <w:p>
      <w:pPr>
        <w:spacing w:after="0"/>
        <w:ind w:left="0"/>
        <w:jc w:val="left"/>
      </w:pP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 xml:space="preserve">5) </w:t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Kod sytuacji przekroczenia służący do identyfikacji sytuacji przekroczeń w strefie. Każdej sytuacji przekroczenia nadaje się kod. Kod składa się z 7 pól: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a) kod kraju (dwa znaki: PL),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b) kod województwa (dwa znaki),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c) rok referencyjny, dla którego została wykonana roczna ocena jakości powietrza według art. 89 ustawy z dnia 27 kwietnia 2001 r. – Prawo ochrony środowiska (cztery cyfry),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d) kod strefy,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e) symbol zanieczyszczenia,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f) symbol czasu uśredniania (h/d/a/8) stężeń przekraczających poziom dopuszczalny lub poziom docelowy,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g) numer kolejny obszaru przekroczeń w strefie (dwa znaki).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Poszczególne pola należy oddzielać znakiem podkreślenia.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Przykład: PL_Mz_2018_PM10_d_01.</w:t>
      </w:r>
      <w:r>
        <w:br/>
      </w:r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Wskazany sposób kodowania sytuacji przekroczeń stosuje się począwszy od 2020 r. – dla roku referencyjnego – 2019, dla którego wykonana została ocena jakości powietrza zgodnie z art. 89 ustawy z dnia 27 kwietnia 2001 r. – Prawo ochrony środowiska.</w:t>
      </w:r>
    </w:p>
    <w:bookmarkEnd w:id="37"/>
    <w:bookmarkStart w:name="idcb1" w:id="38"/>
    <w:p>
      <w:pPr>
        <w:pageBreakBefore/>
        <w:spacing w:after="0"/>
        <w:ind w:left="0"/>
        <w:jc w:val="left"/>
      </w:pPr>
      <w:bookmarkStart w:name="idcb2" w:id="39"/>
    </w:p>
    <w:bookmarkEnd w:id="39"/>
    <w:p>
      <w:pPr>
        <w:spacing w:after="0"/>
        <w:ind w:left="0"/>
        <w:jc w:val="left"/>
      </w:pPr>
      <w:r>
        <w:rPr>
          <w:rFonts w:ascii="Calibri" w:hAnsi="Calibri" w:eastAsia="Calibri" w:cs="Calibri"/>
          <w:b/>
          <w:i w:val="false"/>
          <w:color w:val="000000"/>
        </w:rPr>
        <w:t xml:space="preserve">Sprawozdanie z realizacji planu działań krótkoterminowych </w:t>
      </w:r>
      <w:r>
        <w:rPr>
          <w:rFonts w:ascii="Calibri" w:hAnsi="Calibri" w:eastAsia="Calibri" w:cs="Calibri"/>
          <w:b/>
          <w:i w:val="false"/>
          <w:color w:val="000000"/>
          <w:vertAlign w:val="superscript"/>
        </w:rPr>
        <w:t>1)</w:t>
      </w: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</w:p>
    <w:p>
      <w:pPr>
        <w:spacing w:after="0"/>
        <w:ind w:left="0"/>
        <w:jc w:val="left"/>
      </w:pPr>
      <w:bookmarkStart w:name="idcb9" w:id="40"/>
      <w:r>
        <w:rPr>
          <w:rFonts w:ascii="Calibri" w:hAnsi="Calibri" w:eastAsia="Calibri" w:cs="Calibri"/>
          <w:b w:val="false"/>
          <w:i w:val="false"/>
          <w:color w:val="000000"/>
          <w:sz w:val="22"/>
        </w:rPr>
        <w:t>Nie realizowano planu działań krótkoterminowych</w:t>
      </w:r>
    </w:p>
    <w:bookmarkEnd w:id="40"/>
    <w:bookmarkEnd w:id="38"/>
    <w:bookmarkEnd w:id="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ns4="http://schemas.openxmlformats.org/schemaLibrary/2006/main" xmlns:w15="http://schemas.microsoft.com/office/word/2012/wordml" xmlns:w14="http://schemas.microsoft.com/office/word/2010/wordml" xmlns:mc="http://schemas.openxmlformats.org/markup-compatibility/2006" xmlns:wp="http://schemas.openxmlformats.org/drawingml/2006/wordprocessingDrawing" xmlns:a="http://schemas.openxmlformats.org/drawingml/2006/main" xmlns:wp14="http://schemas.microsoft.com/office/word/2010/wordprocessingDrawing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ns32="http://schemas.openxmlformats.org/drawingml/2006/compatibility" xmlns:ns33="http://schemas.openxmlformats.org/drawingml/2006/lockedCanvas">
  <w:docDefaults>
    <w:rPrDefault>
      <w:rPr>
        <w:rFonts w:ascii="Calibri" w:hAnsi="Calibri" w:eastAsia="Calibri" w:cs="Calibri"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  <w:rPr>
      <w:lang w:val="pl-PL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  <w:rPr>
      <w:lang w:val="pl-PL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lang w:val="pl-PL" w:eastAsia="en-US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