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4E00B" w14:textId="77777777" w:rsidR="00F7019B" w:rsidRPr="00031793" w:rsidRDefault="00F7019B" w:rsidP="00F7019B">
      <w:pPr>
        <w:spacing w:after="0" w:line="240" w:lineRule="auto"/>
        <w:jc w:val="right"/>
        <w:rPr>
          <w:rFonts w:ascii="Times New Roman" w:hAnsi="Times New Roman" w:cs="Times New Roman"/>
          <w:b/>
          <w:i/>
        </w:rPr>
      </w:pPr>
      <w:r w:rsidRPr="00031793">
        <w:rPr>
          <w:rFonts w:ascii="Times New Roman" w:hAnsi="Times New Roman" w:cs="Times New Roman"/>
          <w:b/>
          <w:i/>
        </w:rPr>
        <w:t>Załącznik nr 1 do</w:t>
      </w:r>
    </w:p>
    <w:p w14:paraId="3F13F976" w14:textId="77777777" w:rsidR="00F7019B" w:rsidRPr="00031793" w:rsidRDefault="00F7019B" w:rsidP="00F7019B">
      <w:pPr>
        <w:spacing w:after="0" w:line="240" w:lineRule="auto"/>
        <w:ind w:left="3454" w:hanging="367"/>
        <w:jc w:val="right"/>
        <w:rPr>
          <w:rFonts w:ascii="Times New Roman" w:hAnsi="Times New Roman" w:cs="Times New Roman"/>
          <w:b/>
          <w:i/>
        </w:rPr>
      </w:pPr>
      <w:r>
        <w:rPr>
          <w:rFonts w:ascii="Times New Roman" w:hAnsi="Times New Roman" w:cs="Times New Roman"/>
          <w:b/>
          <w:i/>
        </w:rPr>
        <w:t>Zarządzenia nr 77.</w:t>
      </w:r>
      <w:r w:rsidRPr="00031793">
        <w:rPr>
          <w:rFonts w:ascii="Times New Roman" w:hAnsi="Times New Roman" w:cs="Times New Roman"/>
          <w:b/>
          <w:i/>
        </w:rPr>
        <w:t>2024</w:t>
      </w:r>
    </w:p>
    <w:p w14:paraId="7C55FA42" w14:textId="77777777" w:rsidR="00F7019B" w:rsidRPr="00031793" w:rsidRDefault="00F7019B" w:rsidP="00F7019B">
      <w:pPr>
        <w:spacing w:after="0" w:line="240" w:lineRule="auto"/>
        <w:ind w:left="3454" w:hanging="367"/>
        <w:jc w:val="right"/>
        <w:rPr>
          <w:rFonts w:ascii="Times New Roman" w:hAnsi="Times New Roman" w:cs="Times New Roman"/>
          <w:b/>
          <w:i/>
        </w:rPr>
      </w:pPr>
      <w:r w:rsidRPr="00031793">
        <w:rPr>
          <w:rFonts w:ascii="Times New Roman" w:hAnsi="Times New Roman" w:cs="Times New Roman"/>
          <w:b/>
          <w:i/>
        </w:rPr>
        <w:t>Wójta Gminy Waganiec</w:t>
      </w:r>
    </w:p>
    <w:p w14:paraId="096EA061" w14:textId="77777777" w:rsidR="00F7019B" w:rsidRPr="00031793" w:rsidRDefault="00F7019B" w:rsidP="00F7019B">
      <w:pPr>
        <w:spacing w:after="0" w:line="240" w:lineRule="auto"/>
        <w:ind w:left="3454" w:hanging="367"/>
        <w:jc w:val="right"/>
        <w:rPr>
          <w:rFonts w:ascii="Times New Roman" w:hAnsi="Times New Roman" w:cs="Times New Roman"/>
          <w:b/>
          <w:i/>
        </w:rPr>
      </w:pPr>
      <w:r>
        <w:rPr>
          <w:rFonts w:ascii="Times New Roman" w:hAnsi="Times New Roman" w:cs="Times New Roman"/>
          <w:b/>
          <w:i/>
        </w:rPr>
        <w:t>z dnia 14</w:t>
      </w:r>
      <w:r w:rsidRPr="00031793">
        <w:rPr>
          <w:rFonts w:ascii="Times New Roman" w:hAnsi="Times New Roman" w:cs="Times New Roman"/>
          <w:b/>
          <w:i/>
        </w:rPr>
        <w:t>.</w:t>
      </w:r>
      <w:r>
        <w:rPr>
          <w:rFonts w:ascii="Times New Roman" w:hAnsi="Times New Roman" w:cs="Times New Roman"/>
          <w:b/>
          <w:i/>
        </w:rPr>
        <w:t>08</w:t>
      </w:r>
      <w:r w:rsidRPr="00031793">
        <w:rPr>
          <w:rFonts w:ascii="Times New Roman" w:hAnsi="Times New Roman" w:cs="Times New Roman"/>
          <w:b/>
          <w:i/>
        </w:rPr>
        <w:t>.2024 r.</w:t>
      </w:r>
    </w:p>
    <w:p w14:paraId="740B5A04" w14:textId="77777777" w:rsidR="00F7019B" w:rsidRDefault="00F7019B" w:rsidP="00F7019B">
      <w:pPr>
        <w:spacing w:after="0" w:line="240" w:lineRule="auto"/>
        <w:ind w:left="3454" w:hanging="367"/>
        <w:jc w:val="center"/>
        <w:rPr>
          <w:rFonts w:ascii="Times New Roman" w:hAnsi="Times New Roman" w:cs="Times New Roman"/>
        </w:rPr>
      </w:pPr>
    </w:p>
    <w:p w14:paraId="72892ECE" w14:textId="77777777" w:rsidR="00F7019B" w:rsidRPr="002A47B6" w:rsidRDefault="00F7019B" w:rsidP="00F7019B">
      <w:pPr>
        <w:jc w:val="center"/>
        <w:rPr>
          <w:rFonts w:ascii="Times New Roman" w:hAnsi="Times New Roman" w:cs="Times New Roman"/>
          <w:b/>
        </w:rPr>
      </w:pPr>
      <w:r w:rsidRPr="002A47B6">
        <w:rPr>
          <w:rFonts w:ascii="Times New Roman" w:hAnsi="Times New Roman" w:cs="Times New Roman"/>
          <w:b/>
        </w:rPr>
        <w:t>OGŁOSZENIE</w:t>
      </w:r>
    </w:p>
    <w:p w14:paraId="13D58FA5" w14:textId="77777777" w:rsidR="00F7019B" w:rsidRPr="002A47B6" w:rsidRDefault="00F7019B" w:rsidP="00F7019B">
      <w:pPr>
        <w:jc w:val="center"/>
        <w:rPr>
          <w:rFonts w:ascii="Times New Roman" w:hAnsi="Times New Roman" w:cs="Times New Roman"/>
          <w:b/>
        </w:rPr>
      </w:pPr>
    </w:p>
    <w:p w14:paraId="02F47BB2" w14:textId="77777777" w:rsidR="00F7019B" w:rsidRPr="00D14D99" w:rsidRDefault="00F7019B" w:rsidP="00F7019B">
      <w:pPr>
        <w:spacing w:after="0"/>
        <w:rPr>
          <w:rFonts w:ascii="Times New Roman" w:hAnsi="Times New Roman"/>
          <w:szCs w:val="24"/>
        </w:rPr>
      </w:pPr>
      <w:r w:rsidRPr="002A47B6">
        <w:rPr>
          <w:rFonts w:ascii="Times New Roman" w:hAnsi="Times New Roman" w:cs="Times New Roman"/>
          <w:b/>
        </w:rPr>
        <w:t>o przet</w:t>
      </w:r>
      <w:r>
        <w:rPr>
          <w:rFonts w:ascii="Times New Roman" w:hAnsi="Times New Roman" w:cs="Times New Roman"/>
          <w:b/>
        </w:rPr>
        <w:t xml:space="preserve">argu na </w:t>
      </w:r>
      <w:r>
        <w:rPr>
          <w:rFonts w:ascii="Times New Roman" w:hAnsi="Times New Roman"/>
          <w:b/>
          <w:szCs w:val="24"/>
        </w:rPr>
        <w:t>sprzedaż środka trwałego stanowiącego mienie ruchome Gminy Waganiec – silos wapna.</w:t>
      </w:r>
    </w:p>
    <w:p w14:paraId="783A0B77" w14:textId="77777777" w:rsidR="00F7019B" w:rsidRPr="00582A0F" w:rsidRDefault="00F7019B" w:rsidP="00F7019B">
      <w:pPr>
        <w:spacing w:after="0" w:line="240" w:lineRule="auto"/>
        <w:jc w:val="center"/>
        <w:rPr>
          <w:rFonts w:ascii="Times New Roman" w:hAnsi="Times New Roman" w:cs="Times New Roman"/>
          <w:sz w:val="28"/>
          <w:szCs w:val="28"/>
        </w:rPr>
      </w:pPr>
    </w:p>
    <w:p w14:paraId="65D6D016" w14:textId="77777777" w:rsidR="00F7019B" w:rsidRPr="00BA74B5" w:rsidRDefault="00F7019B" w:rsidP="00F7019B">
      <w:pPr>
        <w:numPr>
          <w:ilvl w:val="0"/>
          <w:numId w:val="1"/>
        </w:numPr>
        <w:spacing w:after="310" w:line="247" w:lineRule="auto"/>
        <w:ind w:right="86" w:hanging="432"/>
        <w:jc w:val="both"/>
        <w:rPr>
          <w:rFonts w:ascii="Times New Roman" w:hAnsi="Times New Roman" w:cs="Times New Roman"/>
        </w:rPr>
      </w:pPr>
      <w:r w:rsidRPr="00BA74B5">
        <w:rPr>
          <w:rFonts w:ascii="Times New Roman" w:hAnsi="Times New Roman" w:cs="Times New Roman"/>
        </w:rPr>
        <w:t>Wójt Gminy Waganiec ogłasza przetarg pisemny nieograniczony pn.:</w:t>
      </w:r>
    </w:p>
    <w:p w14:paraId="7CF9D67F" w14:textId="77777777" w:rsidR="00F7019B" w:rsidRDefault="00F7019B" w:rsidP="00F7019B">
      <w:pPr>
        <w:spacing w:after="0"/>
        <w:rPr>
          <w:rFonts w:ascii="Times New Roman" w:hAnsi="Times New Roman"/>
          <w:b/>
          <w:szCs w:val="24"/>
        </w:rPr>
      </w:pPr>
      <w:r w:rsidRPr="00E44C08">
        <w:rPr>
          <w:rFonts w:ascii="Times New Roman" w:hAnsi="Times New Roman" w:cs="Times New Roman"/>
          <w:b/>
        </w:rPr>
        <w:t xml:space="preserve">„Sprzedaż </w:t>
      </w:r>
      <w:r w:rsidRPr="00E44C08">
        <w:rPr>
          <w:rFonts w:ascii="Times New Roman" w:hAnsi="Times New Roman"/>
          <w:b/>
          <w:szCs w:val="24"/>
        </w:rPr>
        <w:t>środka trwałego stanowiącego mienie</w:t>
      </w:r>
      <w:r>
        <w:rPr>
          <w:rFonts w:ascii="Times New Roman" w:hAnsi="Times New Roman"/>
          <w:b/>
          <w:szCs w:val="24"/>
        </w:rPr>
        <w:t xml:space="preserve"> ruchome Gminy Waganiec – silos wapna EKO-</w:t>
      </w:r>
      <w:proofErr w:type="spellStart"/>
      <w:r>
        <w:rPr>
          <w:rFonts w:ascii="Times New Roman" w:hAnsi="Times New Roman"/>
          <w:b/>
          <w:szCs w:val="24"/>
        </w:rPr>
        <w:t>Celkon</w:t>
      </w:r>
      <w:proofErr w:type="spellEnd"/>
      <w:r w:rsidRPr="00E44C08">
        <w:rPr>
          <w:rFonts w:ascii="Times New Roman" w:hAnsi="Times New Roman"/>
          <w:b/>
          <w:szCs w:val="24"/>
        </w:rPr>
        <w:t>”</w:t>
      </w:r>
      <w:r>
        <w:rPr>
          <w:rFonts w:ascii="Times New Roman" w:hAnsi="Times New Roman"/>
          <w:b/>
          <w:szCs w:val="24"/>
        </w:rPr>
        <w:t>.</w:t>
      </w:r>
    </w:p>
    <w:p w14:paraId="17A6C5AB" w14:textId="77777777" w:rsidR="00F7019B" w:rsidRPr="000370BB" w:rsidRDefault="00F7019B" w:rsidP="00F7019B">
      <w:pPr>
        <w:spacing w:after="0"/>
        <w:rPr>
          <w:rFonts w:ascii="Times New Roman" w:hAnsi="Times New Roman"/>
          <w:b/>
          <w:szCs w:val="24"/>
        </w:rPr>
      </w:pPr>
    </w:p>
    <w:p w14:paraId="73F9EA97" w14:textId="77777777" w:rsidR="00F7019B" w:rsidRPr="000370BB" w:rsidRDefault="00F7019B" w:rsidP="00F7019B">
      <w:pPr>
        <w:spacing w:after="0" w:line="259" w:lineRule="auto"/>
        <w:ind w:firstLine="423"/>
        <w:rPr>
          <w:rFonts w:ascii="Times New Roman" w:hAnsi="Times New Roman" w:cs="Times New Roman"/>
          <w:u w:val="single"/>
        </w:rPr>
      </w:pPr>
      <w:r w:rsidRPr="000370BB">
        <w:rPr>
          <w:rFonts w:ascii="Times New Roman" w:hAnsi="Times New Roman" w:cs="Times New Roman"/>
          <w:u w:val="single"/>
        </w:rPr>
        <w:t>SILOS WAPNA:</w:t>
      </w:r>
    </w:p>
    <w:p w14:paraId="55A988E8" w14:textId="77777777" w:rsidR="00F7019B" w:rsidRPr="00FF1E69" w:rsidRDefault="00F7019B" w:rsidP="00F7019B">
      <w:pPr>
        <w:numPr>
          <w:ilvl w:val="1"/>
          <w:numId w:val="1"/>
        </w:numPr>
        <w:spacing w:after="15" w:line="247" w:lineRule="auto"/>
        <w:ind w:right="86" w:hanging="288"/>
        <w:jc w:val="both"/>
        <w:rPr>
          <w:rFonts w:ascii="Times New Roman" w:hAnsi="Times New Roman" w:cs="Times New Roman"/>
        </w:rPr>
      </w:pPr>
      <w:r>
        <w:rPr>
          <w:rFonts w:ascii="Times New Roman" w:hAnsi="Times New Roman" w:cs="Times New Roman"/>
        </w:rPr>
        <w:t>producent: EKO-Celko,</w:t>
      </w:r>
    </w:p>
    <w:p w14:paraId="63F61567" w14:textId="77777777" w:rsidR="00F7019B" w:rsidRDefault="00F7019B" w:rsidP="00F7019B">
      <w:pPr>
        <w:numPr>
          <w:ilvl w:val="1"/>
          <w:numId w:val="1"/>
        </w:numPr>
        <w:spacing w:after="15" w:line="247" w:lineRule="auto"/>
        <w:ind w:right="86" w:hanging="288"/>
        <w:jc w:val="both"/>
        <w:rPr>
          <w:rFonts w:ascii="Times New Roman" w:hAnsi="Times New Roman" w:cs="Times New Roman"/>
        </w:rPr>
      </w:pPr>
      <w:r>
        <w:rPr>
          <w:rFonts w:ascii="Times New Roman" w:hAnsi="Times New Roman" w:cs="Times New Roman"/>
        </w:rPr>
        <w:t>rok produkcji: ok. 2004 r.,</w:t>
      </w:r>
    </w:p>
    <w:p w14:paraId="72A00A8C" w14:textId="77777777" w:rsidR="00F7019B" w:rsidRDefault="00F7019B" w:rsidP="00F7019B">
      <w:pPr>
        <w:numPr>
          <w:ilvl w:val="1"/>
          <w:numId w:val="1"/>
        </w:numPr>
        <w:spacing w:after="15" w:line="247" w:lineRule="auto"/>
        <w:ind w:right="86" w:hanging="288"/>
        <w:jc w:val="both"/>
        <w:rPr>
          <w:rFonts w:ascii="Times New Roman" w:hAnsi="Times New Roman" w:cs="Times New Roman"/>
        </w:rPr>
      </w:pPr>
      <w:r>
        <w:rPr>
          <w:rFonts w:ascii="Times New Roman" w:hAnsi="Times New Roman" w:cs="Times New Roman"/>
        </w:rPr>
        <w:t>wysokość silosu: ok. 5 m,</w:t>
      </w:r>
    </w:p>
    <w:p w14:paraId="00C19FEA" w14:textId="77777777" w:rsidR="00F7019B" w:rsidRDefault="00F7019B" w:rsidP="00F7019B">
      <w:pPr>
        <w:numPr>
          <w:ilvl w:val="1"/>
          <w:numId w:val="1"/>
        </w:numPr>
        <w:spacing w:after="15" w:line="247" w:lineRule="auto"/>
        <w:ind w:right="86" w:hanging="288"/>
        <w:jc w:val="both"/>
        <w:rPr>
          <w:rFonts w:ascii="Times New Roman" w:hAnsi="Times New Roman" w:cs="Times New Roman"/>
        </w:rPr>
      </w:pPr>
      <w:r>
        <w:rPr>
          <w:rFonts w:ascii="Times New Roman" w:hAnsi="Times New Roman" w:cs="Times New Roman"/>
        </w:rPr>
        <w:t>ładowność: ok. 10 t,</w:t>
      </w:r>
    </w:p>
    <w:p w14:paraId="1F207BA6" w14:textId="77777777" w:rsidR="00F7019B" w:rsidRDefault="00F7019B" w:rsidP="00F7019B">
      <w:pPr>
        <w:numPr>
          <w:ilvl w:val="1"/>
          <w:numId w:val="1"/>
        </w:numPr>
        <w:spacing w:after="15" w:line="247" w:lineRule="auto"/>
        <w:ind w:right="86" w:hanging="288"/>
        <w:jc w:val="both"/>
        <w:rPr>
          <w:rFonts w:ascii="Times New Roman" w:hAnsi="Times New Roman" w:cs="Times New Roman"/>
        </w:rPr>
      </w:pPr>
      <w:r>
        <w:rPr>
          <w:rFonts w:ascii="Times New Roman" w:hAnsi="Times New Roman" w:cs="Times New Roman"/>
        </w:rPr>
        <w:t>ilość nóg: 4,</w:t>
      </w:r>
    </w:p>
    <w:p w14:paraId="3C344627" w14:textId="77777777" w:rsidR="00F7019B" w:rsidRDefault="00F7019B" w:rsidP="00F7019B">
      <w:pPr>
        <w:numPr>
          <w:ilvl w:val="1"/>
          <w:numId w:val="1"/>
        </w:numPr>
        <w:spacing w:after="15" w:line="247" w:lineRule="auto"/>
        <w:ind w:right="86" w:hanging="288"/>
        <w:jc w:val="both"/>
        <w:rPr>
          <w:rFonts w:ascii="Times New Roman" w:hAnsi="Times New Roman" w:cs="Times New Roman"/>
        </w:rPr>
      </w:pPr>
      <w:r>
        <w:rPr>
          <w:rFonts w:ascii="Times New Roman" w:hAnsi="Times New Roman" w:cs="Times New Roman"/>
        </w:rPr>
        <w:t>nr fabryczny: brak danych.</w:t>
      </w:r>
    </w:p>
    <w:p w14:paraId="3C742A03" w14:textId="77777777" w:rsidR="00F7019B" w:rsidRPr="00FF1E69" w:rsidRDefault="00F7019B" w:rsidP="00F7019B">
      <w:pPr>
        <w:ind w:left="1043" w:right="86"/>
        <w:rPr>
          <w:rFonts w:ascii="Times New Roman" w:hAnsi="Times New Roman" w:cs="Times New Roman"/>
        </w:rPr>
      </w:pPr>
    </w:p>
    <w:p w14:paraId="4F7C7D2C" w14:textId="77777777" w:rsidR="00F7019B" w:rsidRPr="00F05D0E" w:rsidRDefault="00F7019B" w:rsidP="00F7019B">
      <w:pPr>
        <w:spacing w:after="0" w:line="259" w:lineRule="auto"/>
        <w:ind w:left="455" w:hanging="10"/>
        <w:rPr>
          <w:rFonts w:ascii="Times New Roman" w:hAnsi="Times New Roman" w:cs="Times New Roman"/>
        </w:rPr>
      </w:pPr>
      <w:r>
        <w:rPr>
          <w:rFonts w:ascii="Times New Roman" w:hAnsi="Times New Roman" w:cs="Times New Roman"/>
          <w:u w:val="single" w:color="000000"/>
        </w:rPr>
        <w:t>CENA WYWOŁAWCZA (</w:t>
      </w:r>
      <w:r>
        <w:rPr>
          <w:rFonts w:ascii="Times New Roman" w:hAnsi="Times New Roman" w:cs="Times New Roman"/>
        </w:rPr>
        <w:t>silos wapna, zasobnik</w:t>
      </w:r>
      <w:r w:rsidRPr="00F05D0E">
        <w:rPr>
          <w:rFonts w:ascii="Times New Roman" w:hAnsi="Times New Roman" w:cs="Times New Roman"/>
          <w:u w:val="single" w:color="000000"/>
        </w:rPr>
        <w:t>)</w:t>
      </w:r>
      <w:r w:rsidRPr="00F05D0E">
        <w:rPr>
          <w:rFonts w:ascii="Times New Roman" w:hAnsi="Times New Roman" w:cs="Times New Roman"/>
        </w:rPr>
        <w:t xml:space="preserve">: </w:t>
      </w:r>
      <w:r>
        <w:rPr>
          <w:rFonts w:ascii="Times New Roman" w:hAnsi="Times New Roman" w:cs="Times New Roman"/>
        </w:rPr>
        <w:t>3 400</w:t>
      </w:r>
      <w:r w:rsidRPr="00D72F44">
        <w:rPr>
          <w:rFonts w:ascii="Times New Roman" w:hAnsi="Times New Roman" w:cs="Times New Roman"/>
        </w:rPr>
        <w:t xml:space="preserve"> zł</w:t>
      </w:r>
    </w:p>
    <w:p w14:paraId="75DAD0C8" w14:textId="77777777" w:rsidR="00F7019B" w:rsidRDefault="00F7019B" w:rsidP="00F7019B">
      <w:pPr>
        <w:spacing w:after="0"/>
        <w:ind w:left="456" w:right="86"/>
        <w:rPr>
          <w:rFonts w:ascii="Times New Roman" w:hAnsi="Times New Roman" w:cs="Times New Roman"/>
        </w:rPr>
      </w:pPr>
      <w:r w:rsidRPr="00D72F44">
        <w:rPr>
          <w:rFonts w:ascii="Times New Roman" w:hAnsi="Times New Roman" w:cs="Times New Roman"/>
        </w:rPr>
        <w:t>(sło</w:t>
      </w:r>
      <w:r>
        <w:rPr>
          <w:rFonts w:ascii="Times New Roman" w:hAnsi="Times New Roman" w:cs="Times New Roman"/>
        </w:rPr>
        <w:t>wnie: trzy tysiące czterysta złotych). Cena nabycia nie może być niższa od ceny wywoławczej.</w:t>
      </w:r>
    </w:p>
    <w:p w14:paraId="668873A7" w14:textId="77777777" w:rsidR="00F7019B" w:rsidRPr="00F05D0E" w:rsidRDefault="00F7019B" w:rsidP="00F7019B">
      <w:pPr>
        <w:spacing w:after="0"/>
        <w:ind w:left="456" w:right="86"/>
        <w:rPr>
          <w:rFonts w:ascii="Times New Roman" w:hAnsi="Times New Roman" w:cs="Times New Roman"/>
        </w:rPr>
      </w:pPr>
    </w:p>
    <w:p w14:paraId="1BC9B632" w14:textId="77777777" w:rsidR="00F7019B" w:rsidRPr="00F05D0E" w:rsidRDefault="00F7019B" w:rsidP="00F7019B">
      <w:pPr>
        <w:numPr>
          <w:ilvl w:val="0"/>
          <w:numId w:val="1"/>
        </w:numPr>
        <w:spacing w:after="290" w:line="247" w:lineRule="auto"/>
        <w:ind w:right="86" w:hanging="432"/>
        <w:jc w:val="both"/>
        <w:rPr>
          <w:rFonts w:ascii="Times New Roman" w:hAnsi="Times New Roman" w:cs="Times New Roman"/>
        </w:rPr>
      </w:pPr>
      <w:r w:rsidRPr="00F05D0E">
        <w:rPr>
          <w:rFonts w:ascii="Times New Roman" w:hAnsi="Times New Roman" w:cs="Times New Roman"/>
        </w:rPr>
        <w:t>Do przetargu mogą przystąpić osoby fizyczne i prawne.</w:t>
      </w:r>
    </w:p>
    <w:p w14:paraId="245F5E8D" w14:textId="77777777" w:rsidR="00F7019B" w:rsidRPr="00F05D0E" w:rsidRDefault="00F7019B" w:rsidP="00F7019B">
      <w:pPr>
        <w:numPr>
          <w:ilvl w:val="0"/>
          <w:numId w:val="1"/>
        </w:numPr>
        <w:spacing w:after="338" w:line="247" w:lineRule="auto"/>
        <w:ind w:right="86" w:hanging="432"/>
        <w:jc w:val="both"/>
        <w:rPr>
          <w:rFonts w:ascii="Times New Roman" w:hAnsi="Times New Roman" w:cs="Times New Roman"/>
        </w:rPr>
      </w:pPr>
      <w:r w:rsidRPr="00F05D0E">
        <w:rPr>
          <w:rFonts w:ascii="Times New Roman" w:hAnsi="Times New Roman" w:cs="Times New Roman"/>
        </w:rPr>
        <w:t xml:space="preserve">Uczestnicy </w:t>
      </w:r>
      <w:r>
        <w:rPr>
          <w:rFonts w:ascii="Times New Roman" w:hAnsi="Times New Roman" w:cs="Times New Roman"/>
        </w:rPr>
        <w:t xml:space="preserve">przystępując do </w:t>
      </w:r>
      <w:r w:rsidRPr="00F05D0E">
        <w:rPr>
          <w:rFonts w:ascii="Times New Roman" w:hAnsi="Times New Roman" w:cs="Times New Roman"/>
        </w:rPr>
        <w:t xml:space="preserve">przetargu oświadczają tym samym, że zapoznali </w:t>
      </w:r>
      <w:r>
        <w:rPr>
          <w:rFonts w:ascii="Times New Roman" w:hAnsi="Times New Roman" w:cs="Times New Roman"/>
        </w:rPr>
        <w:t>się ze stanem faktycznym środka trwałego przeznaczonego</w:t>
      </w:r>
      <w:r w:rsidRPr="00F05D0E">
        <w:rPr>
          <w:rFonts w:ascii="Times New Roman" w:hAnsi="Times New Roman" w:cs="Times New Roman"/>
        </w:rPr>
        <w:t xml:space="preserve"> do sprzedaży oraz że nie zgłaszają żadnych zastrzeżeń.</w:t>
      </w:r>
    </w:p>
    <w:p w14:paraId="79BB1E83" w14:textId="77777777" w:rsidR="00F7019B" w:rsidRPr="00F05D0E" w:rsidRDefault="00F7019B" w:rsidP="00F7019B">
      <w:pPr>
        <w:numPr>
          <w:ilvl w:val="0"/>
          <w:numId w:val="1"/>
        </w:numPr>
        <w:spacing w:after="320" w:line="247" w:lineRule="auto"/>
        <w:ind w:right="86" w:hanging="432"/>
        <w:jc w:val="both"/>
        <w:rPr>
          <w:rFonts w:ascii="Times New Roman" w:hAnsi="Times New Roman" w:cs="Times New Roman"/>
        </w:rPr>
      </w:pPr>
      <w:r w:rsidRPr="00F05D0E">
        <w:rPr>
          <w:rFonts w:ascii="Times New Roman" w:hAnsi="Times New Roman" w:cs="Times New Roman"/>
        </w:rPr>
        <w:t>Uczestnicy przetargu składają oferty zgodnie z Formularzem ofer</w:t>
      </w:r>
      <w:r>
        <w:rPr>
          <w:rFonts w:ascii="Times New Roman" w:hAnsi="Times New Roman" w:cs="Times New Roman"/>
        </w:rPr>
        <w:t>towym stanowiącym Załącznik nr 2 do zarządzenia</w:t>
      </w:r>
      <w:r w:rsidRPr="00F05D0E">
        <w:rPr>
          <w:rFonts w:ascii="Times New Roman" w:hAnsi="Times New Roman" w:cs="Times New Roman"/>
        </w:rPr>
        <w:t>.</w:t>
      </w:r>
    </w:p>
    <w:p w14:paraId="1A8E78E2" w14:textId="77777777" w:rsidR="00F7019B" w:rsidRDefault="00F7019B" w:rsidP="00F7019B">
      <w:pPr>
        <w:numPr>
          <w:ilvl w:val="0"/>
          <w:numId w:val="1"/>
        </w:numPr>
        <w:spacing w:after="15" w:line="247" w:lineRule="auto"/>
        <w:ind w:right="86" w:hanging="432"/>
        <w:jc w:val="both"/>
        <w:rPr>
          <w:rFonts w:ascii="Times New Roman" w:hAnsi="Times New Roman" w:cs="Times New Roman"/>
        </w:rPr>
      </w:pPr>
      <w:r w:rsidRPr="00F05D0E">
        <w:rPr>
          <w:rFonts w:ascii="Times New Roman" w:hAnsi="Times New Roman" w:cs="Times New Roman"/>
        </w:rPr>
        <w:t>Przedmiot przetargu można oglądać po wcześniejszym uzgodnieniu terminu.</w:t>
      </w:r>
    </w:p>
    <w:p w14:paraId="66C04227" w14:textId="77777777" w:rsidR="00F7019B" w:rsidRPr="00F05D0E" w:rsidRDefault="00F7019B" w:rsidP="00F7019B">
      <w:pPr>
        <w:ind w:left="468" w:right="86"/>
        <w:rPr>
          <w:rFonts w:ascii="Times New Roman" w:hAnsi="Times New Roman" w:cs="Times New Roman"/>
        </w:rPr>
      </w:pPr>
    </w:p>
    <w:p w14:paraId="78B6BA04" w14:textId="77777777" w:rsidR="00F7019B" w:rsidRPr="001E4A90" w:rsidRDefault="00F7019B" w:rsidP="00F7019B">
      <w:pPr>
        <w:numPr>
          <w:ilvl w:val="0"/>
          <w:numId w:val="1"/>
        </w:numPr>
        <w:spacing w:after="15" w:line="247" w:lineRule="auto"/>
        <w:ind w:right="86" w:hanging="432"/>
        <w:jc w:val="both"/>
        <w:rPr>
          <w:rFonts w:ascii="Times New Roman" w:hAnsi="Times New Roman" w:cs="Times New Roman"/>
        </w:rPr>
      </w:pPr>
      <w:r>
        <w:rPr>
          <w:rFonts w:ascii="Times New Roman" w:eastAsia="Times New Roman" w:hAnsi="Times New Roman" w:cs="Times New Roman"/>
        </w:rPr>
        <w:t>Wadium w wysokości: 350,00 zł (</w:t>
      </w:r>
      <w:r w:rsidRPr="00142452">
        <w:rPr>
          <w:rFonts w:ascii="Times New Roman" w:eastAsia="Times New Roman" w:hAnsi="Times New Roman" w:cs="Times New Roman"/>
        </w:rPr>
        <w:t xml:space="preserve"> </w:t>
      </w:r>
      <w:r>
        <w:rPr>
          <w:rFonts w:ascii="Times New Roman" w:eastAsia="Times New Roman" w:hAnsi="Times New Roman" w:cs="Times New Roman"/>
        </w:rPr>
        <w:t xml:space="preserve">trzysta pięćdziesiąt </w:t>
      </w:r>
      <w:r w:rsidRPr="00142452">
        <w:rPr>
          <w:rFonts w:ascii="Times New Roman" w:eastAsia="Times New Roman" w:hAnsi="Times New Roman" w:cs="Times New Roman"/>
        </w:rPr>
        <w:t>zł</w:t>
      </w:r>
      <w:r>
        <w:rPr>
          <w:rFonts w:ascii="Times New Roman" w:eastAsia="Times New Roman" w:hAnsi="Times New Roman" w:cs="Times New Roman"/>
        </w:rPr>
        <w:t>otych</w:t>
      </w:r>
      <w:r w:rsidRPr="00142452">
        <w:rPr>
          <w:rFonts w:ascii="Times New Roman" w:eastAsia="Times New Roman" w:hAnsi="Times New Roman" w:cs="Times New Roman"/>
        </w:rPr>
        <w:t xml:space="preserve"> 00/100) należy wnieść do dnia</w:t>
      </w:r>
      <w:r>
        <w:rPr>
          <w:rFonts w:ascii="Times New Roman" w:hAnsi="Times New Roman" w:cs="Times New Roman"/>
        </w:rPr>
        <w:t xml:space="preserve"> </w:t>
      </w:r>
      <w:r w:rsidRPr="006B3DDB">
        <w:rPr>
          <w:rFonts w:ascii="Times New Roman" w:eastAsia="Times New Roman" w:hAnsi="Times New Roman" w:cs="Times New Roman"/>
          <w:color w:val="000000" w:themeColor="text1"/>
        </w:rPr>
        <w:t>29.08.</w:t>
      </w:r>
      <w:r w:rsidRPr="001E4A90">
        <w:rPr>
          <w:rFonts w:ascii="Times New Roman" w:eastAsia="Times New Roman" w:hAnsi="Times New Roman" w:cs="Times New Roman"/>
          <w:color w:val="000000" w:themeColor="text1"/>
        </w:rPr>
        <w:t xml:space="preserve">2024 </w:t>
      </w:r>
      <w:r w:rsidRPr="001E4A90">
        <w:rPr>
          <w:rFonts w:ascii="Times New Roman" w:eastAsia="Times New Roman" w:hAnsi="Times New Roman" w:cs="Times New Roman"/>
        </w:rPr>
        <w:t xml:space="preserve">r. do godz. 11:00 na </w:t>
      </w:r>
      <w:r w:rsidRPr="001E4A90">
        <w:rPr>
          <w:rFonts w:ascii="Times New Roman" w:hAnsi="Times New Roman"/>
        </w:rPr>
        <w:t xml:space="preserve">konto bankowe: SGB KBS w </w:t>
      </w:r>
      <w:r>
        <w:rPr>
          <w:rFonts w:ascii="Times New Roman" w:hAnsi="Times New Roman"/>
        </w:rPr>
        <w:t>Aleksandrowie Kujawskim Filia w W</w:t>
      </w:r>
      <w:r w:rsidRPr="001E4A90">
        <w:rPr>
          <w:rFonts w:ascii="Times New Roman" w:hAnsi="Times New Roman"/>
        </w:rPr>
        <w:t>agańcu, numer: 51 9537 0000 2005 0050 1624 0001.</w:t>
      </w:r>
    </w:p>
    <w:p w14:paraId="150B2238" w14:textId="77777777" w:rsidR="00F7019B" w:rsidRPr="00A05D23" w:rsidRDefault="00F7019B" w:rsidP="00F7019B">
      <w:pPr>
        <w:spacing w:after="192"/>
        <w:ind w:left="492" w:right="86"/>
        <w:rPr>
          <w:rFonts w:ascii="Times New Roman" w:hAnsi="Times New Roman" w:cs="Times New Roman"/>
        </w:rPr>
      </w:pPr>
      <w:r w:rsidRPr="00F05D0E">
        <w:rPr>
          <w:rFonts w:ascii="Times New Roman" w:eastAsia="Times New Roman" w:hAnsi="Times New Roman" w:cs="Times New Roman"/>
        </w:rPr>
        <w:t>Za skuteczne wniesienie wadium uważa się wadium, które w oz</w:t>
      </w:r>
      <w:r>
        <w:rPr>
          <w:rFonts w:ascii="Times New Roman" w:eastAsia="Times New Roman" w:hAnsi="Times New Roman" w:cs="Times New Roman"/>
        </w:rPr>
        <w:t xml:space="preserve">naczonym terminie, tj. do dnia </w:t>
      </w:r>
      <w:r w:rsidRPr="006B3DDB">
        <w:rPr>
          <w:rFonts w:ascii="Times New Roman" w:eastAsia="Times New Roman" w:hAnsi="Times New Roman" w:cs="Times New Roman"/>
          <w:color w:val="000000" w:themeColor="text1"/>
        </w:rPr>
        <w:t xml:space="preserve">29.08.2024 r. </w:t>
      </w:r>
      <w:r w:rsidRPr="00F05D0E">
        <w:rPr>
          <w:rFonts w:ascii="Times New Roman" w:eastAsia="Times New Roman" w:hAnsi="Times New Roman" w:cs="Times New Roman"/>
        </w:rPr>
        <w:t xml:space="preserve">do godz. </w:t>
      </w:r>
      <w:r w:rsidRPr="00A05D23">
        <w:rPr>
          <w:rFonts w:ascii="Times New Roman" w:eastAsia="Times New Roman" w:hAnsi="Times New Roman" w:cs="Times New Roman"/>
        </w:rPr>
        <w:t xml:space="preserve">11:00, </w:t>
      </w:r>
      <w:r>
        <w:rPr>
          <w:rFonts w:ascii="Times New Roman" w:eastAsia="Times New Roman" w:hAnsi="Times New Roman" w:cs="Times New Roman"/>
        </w:rPr>
        <w:t xml:space="preserve"> </w:t>
      </w:r>
      <w:r w:rsidRPr="00A05D23">
        <w:rPr>
          <w:rFonts w:ascii="Times New Roman" w:eastAsia="Times New Roman" w:hAnsi="Times New Roman" w:cs="Times New Roman"/>
        </w:rPr>
        <w:t>znajdzie się na rachunku bankowym Sprzedającego.</w:t>
      </w:r>
    </w:p>
    <w:p w14:paraId="672C6E12" w14:textId="77777777" w:rsidR="00F7019B" w:rsidRPr="00F05D0E" w:rsidRDefault="00F7019B" w:rsidP="00F7019B">
      <w:pPr>
        <w:spacing w:after="271"/>
        <w:ind w:left="485" w:right="86"/>
        <w:rPr>
          <w:rFonts w:ascii="Times New Roman" w:hAnsi="Times New Roman" w:cs="Times New Roman"/>
        </w:rPr>
      </w:pPr>
      <w:r w:rsidRPr="00F05D0E">
        <w:rPr>
          <w:rFonts w:ascii="Times New Roman" w:eastAsia="Times New Roman" w:hAnsi="Times New Roman" w:cs="Times New Roman"/>
        </w:rPr>
        <w:lastRenderedPageBreak/>
        <w:t>Wadium wniesione przez uczestnika, którego oferta nie została wybrana lub została odrzucona, zwraca się niezwłocznie od dnia dokonania wyboru lub odrzucenia oferty. Wadium złożone przez uczestnika przetargu, który go wygrał zalicza się na poczet ceny.</w:t>
      </w:r>
    </w:p>
    <w:p w14:paraId="2E879D6E" w14:textId="77777777" w:rsidR="00F7019B" w:rsidRPr="00F05D0E" w:rsidRDefault="00F7019B" w:rsidP="00F7019B">
      <w:pPr>
        <w:spacing w:after="284"/>
        <w:ind w:left="485" w:right="86"/>
        <w:rPr>
          <w:rFonts w:ascii="Times New Roman" w:hAnsi="Times New Roman" w:cs="Times New Roman"/>
        </w:rPr>
      </w:pPr>
      <w:r w:rsidRPr="00F05D0E">
        <w:rPr>
          <w:rFonts w:ascii="Times New Roman" w:eastAsia="Times New Roman" w:hAnsi="Times New Roman" w:cs="Times New Roman"/>
        </w:rPr>
        <w:t>Wadium przepada na rzecz Sprzedającego w momencie</w:t>
      </w:r>
      <w:r>
        <w:rPr>
          <w:rFonts w:ascii="Times New Roman" w:eastAsia="Times New Roman" w:hAnsi="Times New Roman" w:cs="Times New Roman"/>
        </w:rPr>
        <w:t>,</w:t>
      </w:r>
      <w:r w:rsidRPr="00F05D0E">
        <w:rPr>
          <w:rFonts w:ascii="Times New Roman" w:eastAsia="Times New Roman" w:hAnsi="Times New Roman" w:cs="Times New Roman"/>
        </w:rPr>
        <w:t xml:space="preserve"> jeżel</w:t>
      </w:r>
      <w:r>
        <w:rPr>
          <w:rFonts w:ascii="Times New Roman" w:eastAsia="Times New Roman" w:hAnsi="Times New Roman" w:cs="Times New Roman"/>
        </w:rPr>
        <w:t>i uczestnik przetargu, który go </w:t>
      </w:r>
      <w:r w:rsidRPr="00F05D0E">
        <w:rPr>
          <w:rFonts w:ascii="Times New Roman" w:eastAsia="Times New Roman" w:hAnsi="Times New Roman" w:cs="Times New Roman"/>
        </w:rPr>
        <w:t>wygrał uchyla się od zawarcia umowy w terminie wskazanym przez Sprzedającego</w:t>
      </w:r>
      <w:r>
        <w:rPr>
          <w:rFonts w:ascii="Times New Roman" w:eastAsia="Times New Roman" w:hAnsi="Times New Roman" w:cs="Times New Roman"/>
        </w:rPr>
        <w:t>,</w:t>
      </w:r>
      <w:r w:rsidRPr="00F05D0E">
        <w:rPr>
          <w:rFonts w:ascii="Times New Roman" w:eastAsia="Times New Roman" w:hAnsi="Times New Roman" w:cs="Times New Roman"/>
        </w:rPr>
        <w:t xml:space="preserve"> tj. 7 dni od daty powiadomienia o wygraniu przetargu.</w:t>
      </w:r>
    </w:p>
    <w:p w14:paraId="23AF463A" w14:textId="77777777" w:rsidR="00F7019B" w:rsidRPr="00F05D0E" w:rsidRDefault="00F7019B" w:rsidP="00F7019B">
      <w:pPr>
        <w:numPr>
          <w:ilvl w:val="0"/>
          <w:numId w:val="1"/>
        </w:numPr>
        <w:spacing w:after="292" w:line="247" w:lineRule="auto"/>
        <w:ind w:right="86" w:hanging="432"/>
        <w:jc w:val="both"/>
        <w:rPr>
          <w:rFonts w:ascii="Times New Roman" w:hAnsi="Times New Roman" w:cs="Times New Roman"/>
        </w:rPr>
      </w:pPr>
      <w:r w:rsidRPr="00F05D0E">
        <w:rPr>
          <w:rFonts w:ascii="Times New Roman" w:eastAsia="Times New Roman" w:hAnsi="Times New Roman" w:cs="Times New Roman"/>
        </w:rPr>
        <w:t>Oferta zostanie odrzucona, jeżeli zostanie złożona po terminie oraz w przypadku gdy dokumenty ofertowe są niekompletne, nieczytelne lub budzą wątpliwości, zaś złożenie wyjaśnień mogłoby prowadzić do uznania jej za nową ofertę.</w:t>
      </w:r>
    </w:p>
    <w:p w14:paraId="1625DA91" w14:textId="77777777" w:rsidR="00F7019B" w:rsidRPr="00F05D0E" w:rsidRDefault="00F7019B" w:rsidP="00F7019B">
      <w:pPr>
        <w:numPr>
          <w:ilvl w:val="0"/>
          <w:numId w:val="1"/>
        </w:numPr>
        <w:spacing w:after="276" w:line="247" w:lineRule="auto"/>
        <w:ind w:right="86" w:hanging="432"/>
        <w:jc w:val="both"/>
        <w:rPr>
          <w:rFonts w:ascii="Times New Roman" w:hAnsi="Times New Roman" w:cs="Times New Roman"/>
        </w:rPr>
      </w:pPr>
      <w:r w:rsidRPr="00F05D0E">
        <w:rPr>
          <w:rFonts w:ascii="Times New Roman" w:eastAsia="Times New Roman" w:hAnsi="Times New Roman" w:cs="Times New Roman"/>
        </w:rPr>
        <w:t>Oferty w nieprzezroczystych kopertach nal</w:t>
      </w:r>
      <w:r>
        <w:rPr>
          <w:rFonts w:ascii="Times New Roman" w:eastAsia="Times New Roman" w:hAnsi="Times New Roman" w:cs="Times New Roman"/>
        </w:rPr>
        <w:t xml:space="preserve">eży składać do </w:t>
      </w:r>
      <w:r w:rsidRPr="006B3DDB">
        <w:rPr>
          <w:rFonts w:ascii="Times New Roman" w:eastAsia="Times New Roman" w:hAnsi="Times New Roman" w:cs="Times New Roman"/>
          <w:color w:val="000000" w:themeColor="text1"/>
        </w:rPr>
        <w:t xml:space="preserve">dnia 30 sierpnia 2024 </w:t>
      </w:r>
      <w:r w:rsidRPr="006E1811">
        <w:rPr>
          <w:rFonts w:ascii="Times New Roman" w:eastAsia="Times New Roman" w:hAnsi="Times New Roman" w:cs="Times New Roman"/>
          <w:color w:val="000000" w:themeColor="text1"/>
        </w:rPr>
        <w:t xml:space="preserve">r. do </w:t>
      </w:r>
      <w:r w:rsidRPr="00F05D0E">
        <w:rPr>
          <w:rFonts w:ascii="Times New Roman" w:eastAsia="Times New Roman" w:hAnsi="Times New Roman" w:cs="Times New Roman"/>
        </w:rPr>
        <w:t>godz</w:t>
      </w:r>
      <w:r>
        <w:rPr>
          <w:rFonts w:ascii="Times New Roman" w:eastAsia="Times New Roman" w:hAnsi="Times New Roman" w:cs="Times New Roman"/>
        </w:rPr>
        <w:t>. 11:00 w Urzędzie Gminy Waganiec</w:t>
      </w:r>
      <w:r w:rsidRPr="00F05D0E">
        <w:rPr>
          <w:rFonts w:ascii="Times New Roman" w:eastAsia="Times New Roman" w:hAnsi="Times New Roman" w:cs="Times New Roman"/>
        </w:rPr>
        <w:t xml:space="preserve"> pok. nr 1 (sekretariat). Do oferty należy dołączyć kopie dowodu wniesienia wadium.</w:t>
      </w:r>
    </w:p>
    <w:p w14:paraId="453EA8B1" w14:textId="77777777" w:rsidR="00F7019B" w:rsidRDefault="00F7019B" w:rsidP="00F7019B">
      <w:pPr>
        <w:numPr>
          <w:ilvl w:val="0"/>
          <w:numId w:val="1"/>
        </w:numPr>
        <w:spacing w:after="247" w:line="247" w:lineRule="auto"/>
        <w:ind w:right="86" w:hanging="432"/>
        <w:jc w:val="both"/>
        <w:rPr>
          <w:rFonts w:ascii="Times New Roman" w:hAnsi="Times New Roman" w:cs="Times New Roman"/>
        </w:rPr>
      </w:pPr>
      <w:r w:rsidRPr="00F05D0E">
        <w:rPr>
          <w:rFonts w:ascii="Times New Roman" w:eastAsia="Times New Roman" w:hAnsi="Times New Roman" w:cs="Times New Roman"/>
        </w:rPr>
        <w:t>Oferta powinna być złożona w zamkniętej kopercie, zaadresowanej na adres sp</w:t>
      </w:r>
      <w:r>
        <w:rPr>
          <w:rFonts w:ascii="Times New Roman" w:eastAsia="Times New Roman" w:hAnsi="Times New Roman" w:cs="Times New Roman"/>
        </w:rPr>
        <w:t>rzedającego: Urząd Gminy Waganiec, ul. Dworcowa 11, 87-731 Waganiec</w:t>
      </w:r>
      <w:r w:rsidRPr="00F05D0E">
        <w:rPr>
          <w:rFonts w:ascii="Times New Roman" w:eastAsia="Times New Roman" w:hAnsi="Times New Roman" w:cs="Times New Roman"/>
        </w:rPr>
        <w:t>, z dop</w:t>
      </w:r>
      <w:r>
        <w:rPr>
          <w:rFonts w:ascii="Times New Roman" w:eastAsia="Times New Roman" w:hAnsi="Times New Roman" w:cs="Times New Roman"/>
        </w:rPr>
        <w:t>iskiem</w:t>
      </w:r>
      <w:r w:rsidRPr="006E1811">
        <w:rPr>
          <w:rFonts w:ascii="Times New Roman" w:eastAsia="Times New Roman" w:hAnsi="Times New Roman" w:cs="Times New Roman"/>
          <w:color w:val="000000" w:themeColor="text1"/>
        </w:rPr>
        <w:t>: "Oferta przetargowa — sprzedaż</w:t>
      </w:r>
      <w:r>
        <w:rPr>
          <w:rFonts w:ascii="Times New Roman" w:eastAsia="Times New Roman" w:hAnsi="Times New Roman" w:cs="Times New Roman"/>
          <w:color w:val="000000" w:themeColor="text1"/>
        </w:rPr>
        <w:t xml:space="preserve"> silosu wapna, zasobnika</w:t>
      </w:r>
      <w:r w:rsidRPr="006E1811">
        <w:rPr>
          <w:rFonts w:ascii="Times New Roman" w:eastAsia="Times New Roman" w:hAnsi="Times New Roman" w:cs="Times New Roman"/>
          <w:color w:val="000000" w:themeColor="text1"/>
        </w:rPr>
        <w:t xml:space="preserve">. Nie otwierać przed dniem </w:t>
      </w:r>
      <w:r w:rsidRPr="006B3DDB">
        <w:rPr>
          <w:rFonts w:ascii="Times New Roman" w:eastAsia="Times New Roman" w:hAnsi="Times New Roman" w:cs="Times New Roman"/>
          <w:color w:val="000000" w:themeColor="text1"/>
        </w:rPr>
        <w:t xml:space="preserve">30.08.2024 </w:t>
      </w:r>
      <w:r w:rsidRPr="006E1811">
        <w:rPr>
          <w:rFonts w:ascii="Times New Roman" w:eastAsia="Times New Roman" w:hAnsi="Times New Roman" w:cs="Times New Roman"/>
          <w:color w:val="000000" w:themeColor="text1"/>
        </w:rPr>
        <w:t>r., godz. 11:15”</w:t>
      </w:r>
    </w:p>
    <w:p w14:paraId="0FDA7B1A" w14:textId="77777777" w:rsidR="00F7019B" w:rsidRDefault="00F7019B" w:rsidP="00F7019B">
      <w:pPr>
        <w:numPr>
          <w:ilvl w:val="0"/>
          <w:numId w:val="1"/>
        </w:numPr>
        <w:spacing w:after="247" w:line="247" w:lineRule="auto"/>
        <w:ind w:right="86" w:hanging="432"/>
        <w:jc w:val="both"/>
        <w:rPr>
          <w:rFonts w:ascii="Times New Roman" w:hAnsi="Times New Roman" w:cs="Times New Roman"/>
        </w:rPr>
      </w:pPr>
      <w:r w:rsidRPr="00CF7809">
        <w:rPr>
          <w:rFonts w:ascii="Times New Roman" w:eastAsia="Times New Roman" w:hAnsi="Times New Roman" w:cs="Times New Roman"/>
        </w:rPr>
        <w:t xml:space="preserve">Otwarcie ofert nastąpi </w:t>
      </w:r>
      <w:r w:rsidRPr="006E1811">
        <w:rPr>
          <w:rFonts w:ascii="Times New Roman" w:eastAsia="Times New Roman" w:hAnsi="Times New Roman" w:cs="Times New Roman"/>
          <w:color w:val="000000" w:themeColor="text1"/>
        </w:rPr>
        <w:t xml:space="preserve">komisyjnie w dniu </w:t>
      </w:r>
      <w:r w:rsidRPr="006B3DDB">
        <w:rPr>
          <w:rFonts w:ascii="Times New Roman" w:eastAsia="Times New Roman" w:hAnsi="Times New Roman" w:cs="Times New Roman"/>
          <w:color w:val="000000" w:themeColor="text1"/>
        </w:rPr>
        <w:t xml:space="preserve">30 sierpnia </w:t>
      </w:r>
      <w:r w:rsidRPr="006E1811">
        <w:rPr>
          <w:rFonts w:ascii="Times New Roman" w:eastAsia="Times New Roman" w:hAnsi="Times New Roman" w:cs="Times New Roman"/>
          <w:color w:val="000000" w:themeColor="text1"/>
        </w:rPr>
        <w:t xml:space="preserve">2024 r. o godz. 11:15 w </w:t>
      </w:r>
      <w:r w:rsidRPr="00CF7809">
        <w:rPr>
          <w:rFonts w:ascii="Times New Roman" w:eastAsia="Times New Roman" w:hAnsi="Times New Roman" w:cs="Times New Roman"/>
        </w:rPr>
        <w:t>Urzędzie Gminy w Wagańcu, ul. Dworcowa 11, 87-731 Waganiec, sala posiedzeń (parter). Otwarcie ofert jest jawne.</w:t>
      </w:r>
    </w:p>
    <w:p w14:paraId="4BB13E08" w14:textId="77777777" w:rsidR="00F7019B" w:rsidRDefault="00F7019B" w:rsidP="00F7019B">
      <w:pPr>
        <w:numPr>
          <w:ilvl w:val="0"/>
          <w:numId w:val="1"/>
        </w:numPr>
        <w:spacing w:after="247" w:line="247" w:lineRule="auto"/>
        <w:ind w:right="86" w:hanging="432"/>
        <w:jc w:val="both"/>
        <w:rPr>
          <w:rFonts w:ascii="Times New Roman" w:hAnsi="Times New Roman" w:cs="Times New Roman"/>
        </w:rPr>
      </w:pPr>
      <w:r w:rsidRPr="00CF7809">
        <w:rPr>
          <w:rFonts w:ascii="Times New Roman" w:eastAsia="Times New Roman" w:hAnsi="Times New Roman" w:cs="Times New Roman"/>
        </w:rPr>
        <w:t>Jedynym kryterium przetargu jest cena. Zwycięzcą przetargu zostanie uczestnik oferujący najwyższą kwotę.</w:t>
      </w:r>
    </w:p>
    <w:p w14:paraId="69A58B7A" w14:textId="77777777" w:rsidR="00F7019B" w:rsidRDefault="00F7019B" w:rsidP="00F7019B">
      <w:pPr>
        <w:numPr>
          <w:ilvl w:val="0"/>
          <w:numId w:val="1"/>
        </w:numPr>
        <w:spacing w:after="247" w:line="247" w:lineRule="auto"/>
        <w:ind w:right="86" w:hanging="432"/>
        <w:jc w:val="both"/>
        <w:rPr>
          <w:rFonts w:ascii="Times New Roman" w:hAnsi="Times New Roman" w:cs="Times New Roman"/>
        </w:rPr>
      </w:pPr>
      <w:r w:rsidRPr="00CF7809">
        <w:rPr>
          <w:rFonts w:ascii="Times New Roman" w:eastAsia="Times New Roman" w:hAnsi="Times New Roman" w:cs="Times New Roman"/>
        </w:rPr>
        <w:t>Wyłącza się odpowiedzialność z tytułu rękojmi za przedmiot sprzedaży.</w:t>
      </w:r>
    </w:p>
    <w:p w14:paraId="0EE4A79B" w14:textId="77777777" w:rsidR="00F7019B" w:rsidRDefault="00F7019B" w:rsidP="00F7019B">
      <w:pPr>
        <w:numPr>
          <w:ilvl w:val="0"/>
          <w:numId w:val="1"/>
        </w:numPr>
        <w:spacing w:after="247" w:line="247" w:lineRule="auto"/>
        <w:ind w:right="86" w:hanging="432"/>
        <w:jc w:val="both"/>
        <w:rPr>
          <w:rFonts w:ascii="Times New Roman" w:hAnsi="Times New Roman" w:cs="Times New Roman"/>
        </w:rPr>
      </w:pPr>
      <w:r w:rsidRPr="00CF7809">
        <w:rPr>
          <w:rFonts w:ascii="Times New Roman" w:eastAsia="Times New Roman" w:hAnsi="Times New Roman" w:cs="Times New Roman"/>
        </w:rPr>
        <w:t>Uczestnik, którego oferta została w przetargu uznana za najkorzystniejszą jest nią związany do czasu zawarcia umowy, nie później jednak niż 30 dni liczone od dnia otwarcia ofert. Pozostali uczestnicy przestają być związani ofertą z chwilą otrzymania pisemnego powiadomienia przez Sprzedającego o dokonaniu wyboru oferty innego uczestnika.</w:t>
      </w:r>
    </w:p>
    <w:p w14:paraId="74FEA871" w14:textId="77777777" w:rsidR="00F7019B" w:rsidRDefault="00F7019B" w:rsidP="00F7019B">
      <w:pPr>
        <w:spacing w:after="247"/>
        <w:ind w:left="468" w:right="86"/>
        <w:rPr>
          <w:rFonts w:ascii="Times New Roman" w:hAnsi="Times New Roman" w:cs="Times New Roman"/>
        </w:rPr>
      </w:pPr>
      <w:r w:rsidRPr="00CF7809">
        <w:rPr>
          <w:rFonts w:ascii="Times New Roman" w:eastAsia="Times New Roman" w:hAnsi="Times New Roman" w:cs="Times New Roman"/>
        </w:rPr>
        <w:t>Wszyscy uczestnicy przestają być związani ofertą z chwilą zakończenia przetargu wynikiem negatywnym bądź unieważnienia przez Sprzedającego przetargu.</w:t>
      </w:r>
    </w:p>
    <w:p w14:paraId="6890EDA9" w14:textId="77777777" w:rsidR="00F7019B" w:rsidRPr="0026362B" w:rsidRDefault="00F7019B" w:rsidP="00F7019B">
      <w:pPr>
        <w:pStyle w:val="Akapitzlist"/>
        <w:numPr>
          <w:ilvl w:val="0"/>
          <w:numId w:val="1"/>
        </w:numPr>
        <w:spacing w:after="247"/>
        <w:ind w:left="426" w:right="86" w:hanging="426"/>
        <w:rPr>
          <w:rFonts w:ascii="Times New Roman" w:hAnsi="Times New Roman" w:cs="Times New Roman"/>
          <w:sz w:val="22"/>
          <w:lang w:val="pl-PL"/>
        </w:rPr>
      </w:pPr>
      <w:r w:rsidRPr="00CF7809">
        <w:rPr>
          <w:rFonts w:ascii="Times New Roman" w:eastAsia="Times New Roman" w:hAnsi="Times New Roman" w:cs="Times New Roman"/>
          <w:sz w:val="22"/>
          <w:lang w:val="pl-PL"/>
        </w:rPr>
        <w:t>Przetarg kończy się wynikiem negatywnym w sytuacji, w której żaden z uczestników nie zaoferował ceny równej lub przewyższającej cenę minimalną, bądź nie wpłynęło żadne wadium na konto Urzędu Gminy.</w:t>
      </w:r>
    </w:p>
    <w:p w14:paraId="1AFA5AEB" w14:textId="77777777" w:rsidR="00F7019B" w:rsidRPr="00CF7809" w:rsidRDefault="00F7019B" w:rsidP="00F7019B">
      <w:pPr>
        <w:pStyle w:val="Akapitzlist"/>
        <w:spacing w:after="247"/>
        <w:ind w:left="426" w:right="86" w:firstLine="0"/>
        <w:rPr>
          <w:rFonts w:ascii="Times New Roman" w:hAnsi="Times New Roman" w:cs="Times New Roman"/>
          <w:sz w:val="22"/>
          <w:lang w:val="pl-PL"/>
        </w:rPr>
      </w:pPr>
    </w:p>
    <w:p w14:paraId="117E99C7" w14:textId="77777777" w:rsidR="00F7019B" w:rsidRPr="00CF7809" w:rsidRDefault="00F7019B" w:rsidP="00F7019B">
      <w:pPr>
        <w:pStyle w:val="Akapitzlist"/>
        <w:numPr>
          <w:ilvl w:val="0"/>
          <w:numId w:val="1"/>
        </w:numPr>
        <w:spacing w:after="247"/>
        <w:ind w:left="426" w:right="86" w:hanging="426"/>
        <w:rPr>
          <w:rFonts w:ascii="Times New Roman" w:hAnsi="Times New Roman" w:cs="Times New Roman"/>
          <w:sz w:val="22"/>
          <w:lang w:val="pl-PL"/>
        </w:rPr>
      </w:pPr>
      <w:r w:rsidRPr="00CF7809">
        <w:rPr>
          <w:rFonts w:ascii="Times New Roman" w:eastAsia="Times New Roman" w:hAnsi="Times New Roman" w:cs="Times New Roman"/>
          <w:sz w:val="22"/>
          <w:lang w:val="pl-PL"/>
        </w:rPr>
        <w:t>W razie ustalenia, że kilku uczestników zaoferowało tę samą cenę. Komisja kontynuuje przetarg w formie aukcji między tymi uczestnikami, wyznaczając jednocześnie termin i miejsce licytacji.</w:t>
      </w:r>
    </w:p>
    <w:p w14:paraId="40DE27CE" w14:textId="77777777" w:rsidR="00F7019B" w:rsidRPr="00F05D0E" w:rsidRDefault="00F7019B" w:rsidP="00F7019B">
      <w:pPr>
        <w:spacing w:after="294"/>
        <w:ind w:left="521" w:right="86" w:hanging="95"/>
        <w:rPr>
          <w:rFonts w:ascii="Times New Roman" w:hAnsi="Times New Roman" w:cs="Times New Roman"/>
        </w:rPr>
      </w:pPr>
      <w:r w:rsidRPr="00F05D0E">
        <w:rPr>
          <w:rFonts w:ascii="Times New Roman" w:eastAsia="Times New Roman" w:hAnsi="Times New Roman" w:cs="Times New Roman"/>
        </w:rPr>
        <w:t>W przypadku kontynuowania przetargu w formie aukcji, sprzedający wywołuje cenę zaoferowaną przez uczestników.</w:t>
      </w:r>
    </w:p>
    <w:p w14:paraId="25A9F2BD" w14:textId="77777777" w:rsidR="00F7019B" w:rsidRPr="00F05D0E" w:rsidRDefault="00F7019B" w:rsidP="00F7019B">
      <w:pPr>
        <w:spacing w:after="302"/>
        <w:ind w:left="507" w:right="86" w:hanging="81"/>
        <w:rPr>
          <w:rFonts w:ascii="Times New Roman" w:hAnsi="Times New Roman" w:cs="Times New Roman"/>
        </w:rPr>
      </w:pPr>
      <w:r w:rsidRPr="00F05D0E">
        <w:rPr>
          <w:rFonts w:ascii="Times New Roman" w:eastAsia="Times New Roman" w:hAnsi="Times New Roman" w:cs="Times New Roman"/>
        </w:rPr>
        <w:t>Po ustaleniu postąpień Komisja — uprzedzając obecnych — po trzecim ogłoszeniu zamyka przetarg i udziela przybicia licytantowi, który zaoferował najwyższą cenę.</w:t>
      </w:r>
    </w:p>
    <w:p w14:paraId="03D1FB87" w14:textId="77777777" w:rsidR="00F7019B" w:rsidRPr="00F05D0E" w:rsidRDefault="00F7019B" w:rsidP="00F7019B">
      <w:pPr>
        <w:numPr>
          <w:ilvl w:val="0"/>
          <w:numId w:val="1"/>
        </w:numPr>
        <w:spacing w:after="272" w:line="247" w:lineRule="auto"/>
        <w:ind w:right="86" w:hanging="468"/>
        <w:jc w:val="both"/>
        <w:rPr>
          <w:rFonts w:ascii="Times New Roman" w:hAnsi="Times New Roman" w:cs="Times New Roman"/>
        </w:rPr>
      </w:pPr>
      <w:r w:rsidRPr="00F05D0E">
        <w:rPr>
          <w:rFonts w:ascii="Times New Roman" w:eastAsia="Times New Roman" w:hAnsi="Times New Roman" w:cs="Times New Roman"/>
        </w:rPr>
        <w:lastRenderedPageBreak/>
        <w:t>Sprzedający zawiera z nabywcą umowę sprzedaży w terminie 7 dni licząc od dnia zawiadomienia o przyjęciu jego oferty jako najkorzystniejszej. Nabywca jest zobowiązany zapłacić cenę nabycia przedmiotu umowy sprzedaży w dniu jej zawarcia. Wydanie przedmiotu sprzedaży nabywcy na</w:t>
      </w:r>
      <w:r>
        <w:rPr>
          <w:rFonts w:ascii="Times New Roman" w:eastAsia="Times New Roman" w:hAnsi="Times New Roman" w:cs="Times New Roman"/>
        </w:rPr>
        <w:t xml:space="preserve">stępuje po zawarciu umowy </w:t>
      </w:r>
      <w:r w:rsidRPr="00F05D0E">
        <w:rPr>
          <w:rFonts w:ascii="Times New Roman" w:eastAsia="Times New Roman" w:hAnsi="Times New Roman" w:cs="Times New Roman"/>
        </w:rPr>
        <w:t>sprzedaży i zapłaceniu ceny nabycia.</w:t>
      </w:r>
    </w:p>
    <w:p w14:paraId="29AB2CBB" w14:textId="77777777" w:rsidR="00F7019B" w:rsidRPr="00F05D0E" w:rsidRDefault="00F7019B" w:rsidP="00F7019B">
      <w:pPr>
        <w:numPr>
          <w:ilvl w:val="0"/>
          <w:numId w:val="1"/>
        </w:numPr>
        <w:spacing w:after="290" w:line="247" w:lineRule="auto"/>
        <w:ind w:right="86" w:hanging="468"/>
        <w:jc w:val="both"/>
        <w:rPr>
          <w:rFonts w:ascii="Times New Roman" w:hAnsi="Times New Roman" w:cs="Times New Roman"/>
        </w:rPr>
      </w:pPr>
      <w:r w:rsidRPr="00F05D0E">
        <w:rPr>
          <w:rFonts w:ascii="Times New Roman" w:eastAsia="Times New Roman" w:hAnsi="Times New Roman" w:cs="Times New Roman"/>
        </w:rPr>
        <w:t>Sprzedający zastrzega sobie prawo do odstąpienia od przeprowadzenia procedury przetargowej oraz zamknięcia niniejszego przetargu bez wybrania którejkolwiek z ofert, bez podania przyczyn.</w:t>
      </w:r>
    </w:p>
    <w:p w14:paraId="26DFCEBD" w14:textId="77777777" w:rsidR="00F7019B" w:rsidRPr="00F05D0E" w:rsidRDefault="00F7019B" w:rsidP="00F7019B">
      <w:pPr>
        <w:spacing w:after="292"/>
        <w:ind w:left="485" w:right="86" w:hanging="468"/>
        <w:rPr>
          <w:rFonts w:ascii="Times New Roman" w:hAnsi="Times New Roman" w:cs="Times New Roman"/>
        </w:rPr>
      </w:pPr>
      <w:r>
        <w:rPr>
          <w:rFonts w:ascii="Times New Roman" w:eastAsia="Times New Roman" w:hAnsi="Times New Roman" w:cs="Times New Roman"/>
        </w:rPr>
        <w:t xml:space="preserve">         </w:t>
      </w:r>
      <w:r w:rsidRPr="00F05D0E">
        <w:rPr>
          <w:rFonts w:ascii="Times New Roman" w:eastAsia="Times New Roman" w:hAnsi="Times New Roman" w:cs="Times New Roman"/>
        </w:rPr>
        <w:t>O rozstrzygnięciu przetargu lub jego unieważnieniu sprzeda</w:t>
      </w:r>
      <w:r>
        <w:rPr>
          <w:rFonts w:ascii="Times New Roman" w:eastAsia="Times New Roman" w:hAnsi="Times New Roman" w:cs="Times New Roman"/>
        </w:rPr>
        <w:t>jący poinformuje uczestników na </w:t>
      </w:r>
      <w:r w:rsidRPr="00F05D0E">
        <w:rPr>
          <w:rFonts w:ascii="Times New Roman" w:eastAsia="Times New Roman" w:hAnsi="Times New Roman" w:cs="Times New Roman"/>
        </w:rPr>
        <w:t>piśmie.</w:t>
      </w:r>
    </w:p>
    <w:p w14:paraId="730AE31A" w14:textId="77777777" w:rsidR="00F7019B" w:rsidRDefault="00F7019B" w:rsidP="00F7019B">
      <w:pPr>
        <w:ind w:left="471" w:right="1173"/>
        <w:rPr>
          <w:rFonts w:ascii="Times New Roman" w:eastAsia="Times New Roman" w:hAnsi="Times New Roman" w:cs="Times New Roman"/>
        </w:rPr>
      </w:pPr>
      <w:r w:rsidRPr="00F05D0E">
        <w:rPr>
          <w:rFonts w:ascii="Times New Roman" w:eastAsia="Times New Roman" w:hAnsi="Times New Roman" w:cs="Times New Roman"/>
        </w:rPr>
        <w:t>Niniejsze ogłoszenie podlega publikacji na stronie internetowej Sprzedającego:</w:t>
      </w:r>
    </w:p>
    <w:p w14:paraId="03B7505D" w14:textId="77777777" w:rsidR="00F7019B" w:rsidRPr="007B19BA" w:rsidRDefault="00F7019B" w:rsidP="00F7019B">
      <w:pPr>
        <w:ind w:left="471" w:right="1173"/>
        <w:rPr>
          <w:rFonts w:ascii="Times New Roman" w:eastAsia="Times New Roman" w:hAnsi="Times New Roman" w:cs="Times New Roman"/>
          <w:u w:val="single" w:color="000000"/>
        </w:rPr>
      </w:pPr>
      <w:r w:rsidRPr="00F05D0E">
        <w:rPr>
          <w:rFonts w:ascii="Times New Roman" w:eastAsia="Times New Roman" w:hAnsi="Times New Roman" w:cs="Times New Roman"/>
        </w:rPr>
        <w:t xml:space="preserve"> 1) strona internetowa Zamawiającego — </w:t>
      </w:r>
      <w:hyperlink r:id="rId5" w:history="1">
        <w:r w:rsidRPr="00356B06">
          <w:rPr>
            <w:rStyle w:val="Hipercze"/>
            <w:rFonts w:ascii="Times New Roman" w:eastAsia="Times New Roman" w:hAnsi="Times New Roman" w:cs="Times New Roman"/>
            <w:u w:color="000000"/>
          </w:rPr>
          <w:t>www.waganiec.biuletyn.net</w:t>
        </w:r>
      </w:hyperlink>
    </w:p>
    <w:p w14:paraId="2A92B343" w14:textId="77777777" w:rsidR="00F7019B" w:rsidRPr="007B19BA" w:rsidRDefault="00F7019B" w:rsidP="00F7019B">
      <w:pPr>
        <w:ind w:right="86"/>
        <w:rPr>
          <w:rFonts w:ascii="Times New Roman" w:hAnsi="Times New Roman" w:cs="Times New Roman"/>
        </w:rPr>
      </w:pPr>
      <w:r>
        <w:rPr>
          <w:rFonts w:ascii="Times New Roman" w:eastAsia="Times New Roman" w:hAnsi="Times New Roman" w:cs="Times New Roman"/>
        </w:rPr>
        <w:t xml:space="preserve">         2) </w:t>
      </w:r>
      <w:r w:rsidRPr="007B19BA">
        <w:rPr>
          <w:rFonts w:ascii="Times New Roman" w:eastAsia="Times New Roman" w:hAnsi="Times New Roman" w:cs="Times New Roman"/>
        </w:rPr>
        <w:t>tablica ogłoszeń w miejscu publicznie dostępnym w siedzibie Zamawiającego,</w:t>
      </w:r>
    </w:p>
    <w:p w14:paraId="58F3E303" w14:textId="77777777" w:rsidR="00F7019B" w:rsidRPr="00F05D0E" w:rsidRDefault="00F7019B" w:rsidP="00F7019B">
      <w:pPr>
        <w:spacing w:after="584"/>
        <w:ind w:right="86"/>
        <w:rPr>
          <w:rFonts w:ascii="Times New Roman" w:hAnsi="Times New Roman" w:cs="Times New Roman"/>
        </w:rPr>
      </w:pPr>
    </w:p>
    <w:p w14:paraId="1F58C37B" w14:textId="77777777" w:rsidR="00F7019B" w:rsidRPr="00F05D0E" w:rsidRDefault="00F7019B" w:rsidP="00F7019B">
      <w:pPr>
        <w:spacing w:after="204" w:line="259" w:lineRule="auto"/>
        <w:ind w:left="14"/>
        <w:rPr>
          <w:rFonts w:ascii="Times New Roman" w:hAnsi="Times New Roman" w:cs="Times New Roman"/>
        </w:rPr>
      </w:pPr>
      <w:r w:rsidRPr="00F05D0E">
        <w:rPr>
          <w:rFonts w:ascii="Times New Roman" w:eastAsia="Times New Roman" w:hAnsi="Times New Roman" w:cs="Times New Roman"/>
          <w:u w:val="single" w:color="000000"/>
        </w:rPr>
        <w:t>Załączniki:</w:t>
      </w:r>
    </w:p>
    <w:p w14:paraId="2B5013E9" w14:textId="77777777" w:rsidR="00F7019B" w:rsidRPr="00F05D0E" w:rsidRDefault="00F7019B" w:rsidP="00F7019B">
      <w:pPr>
        <w:numPr>
          <w:ilvl w:val="1"/>
          <w:numId w:val="2"/>
        </w:numPr>
        <w:spacing w:after="15" w:line="247" w:lineRule="auto"/>
        <w:ind w:left="569" w:right="86" w:hanging="281"/>
        <w:jc w:val="both"/>
        <w:rPr>
          <w:rFonts w:ascii="Times New Roman" w:hAnsi="Times New Roman" w:cs="Times New Roman"/>
        </w:rPr>
      </w:pPr>
      <w:r w:rsidRPr="00F05D0E">
        <w:rPr>
          <w:rFonts w:ascii="Times New Roman" w:eastAsia="Times New Roman" w:hAnsi="Times New Roman" w:cs="Times New Roman"/>
        </w:rPr>
        <w:t>For</w:t>
      </w:r>
      <w:r>
        <w:rPr>
          <w:rFonts w:ascii="Times New Roman" w:eastAsia="Times New Roman" w:hAnsi="Times New Roman" w:cs="Times New Roman"/>
        </w:rPr>
        <w:t>mularz ofertowy — Załącznik nr 2.</w:t>
      </w:r>
    </w:p>
    <w:p w14:paraId="3A189D66" w14:textId="77777777" w:rsidR="00F7019B" w:rsidRPr="00F05D0E" w:rsidRDefault="00F7019B" w:rsidP="00F7019B">
      <w:pPr>
        <w:numPr>
          <w:ilvl w:val="1"/>
          <w:numId w:val="2"/>
        </w:numPr>
        <w:spacing w:after="15" w:line="247" w:lineRule="auto"/>
        <w:ind w:left="569" w:right="86" w:hanging="281"/>
        <w:jc w:val="both"/>
        <w:rPr>
          <w:rFonts w:ascii="Times New Roman" w:hAnsi="Times New Roman" w:cs="Times New Roman"/>
        </w:rPr>
      </w:pPr>
      <w:r>
        <w:rPr>
          <w:rFonts w:ascii="Times New Roman" w:eastAsia="Times New Roman" w:hAnsi="Times New Roman" w:cs="Times New Roman"/>
        </w:rPr>
        <w:t>Projekt umowy — Załącznik nr 3.</w:t>
      </w:r>
    </w:p>
    <w:p w14:paraId="5D5B1E08" w14:textId="77777777" w:rsidR="00F7019B" w:rsidRPr="00F05D0E" w:rsidRDefault="00F7019B" w:rsidP="00F7019B">
      <w:pPr>
        <w:ind w:left="569" w:right="86"/>
        <w:rPr>
          <w:rFonts w:ascii="Times New Roman" w:hAnsi="Times New Roman" w:cs="Times New Roman"/>
        </w:rPr>
      </w:pPr>
    </w:p>
    <w:p w14:paraId="46BFFE1E" w14:textId="7F2657D7" w:rsidR="009F3782" w:rsidRDefault="009F3782"/>
    <w:sectPr w:rsidR="009F3782" w:rsidSect="00F7019B">
      <w:pgSz w:w="11900" w:h="16820"/>
      <w:pgMar w:top="1510" w:right="1302" w:bottom="1769" w:left="13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46AB3"/>
    <w:multiLevelType w:val="hybridMultilevel"/>
    <w:tmpl w:val="3A1E187C"/>
    <w:lvl w:ilvl="0" w:tplc="AEC677F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EE1378">
      <w:start w:val="1"/>
      <w:numFmt w:val="decimal"/>
      <w:lvlText w:val="%2."/>
      <w:lvlJc w:val="left"/>
      <w:pPr>
        <w:ind w:left="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04D218">
      <w:start w:val="1"/>
      <w:numFmt w:val="lowerRoman"/>
      <w:lvlText w:val="%3"/>
      <w:lvlJc w:val="left"/>
      <w:pPr>
        <w:ind w:left="1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E62D34">
      <w:start w:val="1"/>
      <w:numFmt w:val="decimal"/>
      <w:lvlText w:val="%4"/>
      <w:lvlJc w:val="left"/>
      <w:pPr>
        <w:ind w:left="2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F0785A">
      <w:start w:val="1"/>
      <w:numFmt w:val="lowerLetter"/>
      <w:lvlText w:val="%5"/>
      <w:lvlJc w:val="left"/>
      <w:pPr>
        <w:ind w:left="2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B20710">
      <w:start w:val="1"/>
      <w:numFmt w:val="lowerRoman"/>
      <w:lvlText w:val="%6"/>
      <w:lvlJc w:val="left"/>
      <w:pPr>
        <w:ind w:left="3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FA69EA">
      <w:start w:val="1"/>
      <w:numFmt w:val="decimal"/>
      <w:lvlText w:val="%7"/>
      <w:lvlJc w:val="left"/>
      <w:pPr>
        <w:ind w:left="4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5CD3E2">
      <w:start w:val="1"/>
      <w:numFmt w:val="lowerLetter"/>
      <w:lvlText w:val="%8"/>
      <w:lvlJc w:val="left"/>
      <w:pPr>
        <w:ind w:left="4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7E410A">
      <w:start w:val="1"/>
      <w:numFmt w:val="lowerRoman"/>
      <w:lvlText w:val="%9"/>
      <w:lvlJc w:val="left"/>
      <w:pPr>
        <w:ind w:left="5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85F02F1"/>
    <w:multiLevelType w:val="hybridMultilevel"/>
    <w:tmpl w:val="9C7CB590"/>
    <w:lvl w:ilvl="0" w:tplc="2D2C7CB4">
      <w:start w:val="1"/>
      <w:numFmt w:val="decimal"/>
      <w:lvlText w:val="%1."/>
      <w:lvlJc w:val="left"/>
      <w:pPr>
        <w:ind w:left="46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15434E6">
      <w:start w:val="1"/>
      <w:numFmt w:val="lowerLetter"/>
      <w:lvlText w:val="%2)"/>
      <w:lvlJc w:val="left"/>
      <w:pPr>
        <w:ind w:left="104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BCAB266">
      <w:start w:val="1"/>
      <w:numFmt w:val="lowerRoman"/>
      <w:lvlText w:val="%3"/>
      <w:lvlJc w:val="left"/>
      <w:pPr>
        <w:ind w:left="1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489AEE">
      <w:start w:val="1"/>
      <w:numFmt w:val="decimal"/>
      <w:lvlText w:val="%4"/>
      <w:lvlJc w:val="left"/>
      <w:pPr>
        <w:ind w:left="2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A46C20">
      <w:start w:val="1"/>
      <w:numFmt w:val="lowerLetter"/>
      <w:lvlText w:val="%5"/>
      <w:lvlJc w:val="left"/>
      <w:pPr>
        <w:ind w:left="3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825580">
      <w:start w:val="1"/>
      <w:numFmt w:val="lowerRoman"/>
      <w:lvlText w:val="%6"/>
      <w:lvlJc w:val="left"/>
      <w:pPr>
        <w:ind w:left="4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AAC4D4">
      <w:start w:val="1"/>
      <w:numFmt w:val="decimal"/>
      <w:lvlText w:val="%7"/>
      <w:lvlJc w:val="left"/>
      <w:pPr>
        <w:ind w:left="4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B6AF5C">
      <w:start w:val="1"/>
      <w:numFmt w:val="lowerLetter"/>
      <w:lvlText w:val="%8"/>
      <w:lvlJc w:val="left"/>
      <w:pPr>
        <w:ind w:left="5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DEDCA2">
      <w:start w:val="1"/>
      <w:numFmt w:val="lowerRoman"/>
      <w:lvlText w:val="%9"/>
      <w:lvlJc w:val="left"/>
      <w:pPr>
        <w:ind w:left="6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90071993">
    <w:abstractNumId w:val="1"/>
  </w:num>
  <w:num w:numId="2" w16cid:durableId="129506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AD"/>
    <w:rsid w:val="00005FAE"/>
    <w:rsid w:val="00007FAA"/>
    <w:rsid w:val="00044D4B"/>
    <w:rsid w:val="000A5455"/>
    <w:rsid w:val="002A6A98"/>
    <w:rsid w:val="002F768E"/>
    <w:rsid w:val="00302303"/>
    <w:rsid w:val="00310874"/>
    <w:rsid w:val="003264D5"/>
    <w:rsid w:val="003671BF"/>
    <w:rsid w:val="00443996"/>
    <w:rsid w:val="00476FB9"/>
    <w:rsid w:val="00564ACA"/>
    <w:rsid w:val="005E4915"/>
    <w:rsid w:val="005F5A98"/>
    <w:rsid w:val="00606C0F"/>
    <w:rsid w:val="006871B2"/>
    <w:rsid w:val="00801B03"/>
    <w:rsid w:val="00967545"/>
    <w:rsid w:val="00994DD6"/>
    <w:rsid w:val="009F009B"/>
    <w:rsid w:val="009F3782"/>
    <w:rsid w:val="00B046DD"/>
    <w:rsid w:val="00CE1905"/>
    <w:rsid w:val="00CF7BAD"/>
    <w:rsid w:val="00DA7CB2"/>
    <w:rsid w:val="00DE1B43"/>
    <w:rsid w:val="00E136D3"/>
    <w:rsid w:val="00E838AD"/>
    <w:rsid w:val="00EF5DB2"/>
    <w:rsid w:val="00F7019B"/>
    <w:rsid w:val="00F870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8022"/>
  <w15:docId w15:val="{424E9F14-540B-4BB8-AEB9-AE2FC253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7019B"/>
    <w:rPr>
      <w:color w:val="0000FF" w:themeColor="hyperlink"/>
      <w:u w:val="single"/>
    </w:rPr>
  </w:style>
  <w:style w:type="paragraph" w:styleId="Akapitzlist">
    <w:name w:val="List Paragraph"/>
    <w:basedOn w:val="Normalny"/>
    <w:uiPriority w:val="34"/>
    <w:qFormat/>
    <w:rsid w:val="00F7019B"/>
    <w:pPr>
      <w:spacing w:after="15" w:line="247" w:lineRule="auto"/>
      <w:ind w:left="720" w:right="7" w:hanging="3"/>
      <w:contextualSpacing/>
      <w:jc w:val="both"/>
    </w:pPr>
    <w:rPr>
      <w:rFonts w:ascii="Calibri" w:eastAsia="Calibri" w:hAnsi="Calibri" w:cs="Calibri"/>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ganiec.biuletyn.ne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4420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Urząd Gminy Waganiec</cp:lastModifiedBy>
  <cp:revision>2</cp:revision>
  <dcterms:created xsi:type="dcterms:W3CDTF">2024-08-14T12:01:00Z</dcterms:created>
  <dcterms:modified xsi:type="dcterms:W3CDTF">2024-08-14T12:01:00Z</dcterms:modified>
</cp:coreProperties>
</file>